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EB79" w14:textId="0D69CF1A" w:rsidR="00D14420" w:rsidRPr="00AB667B" w:rsidRDefault="00D14420" w:rsidP="006D6803">
      <w:pPr>
        <w:pStyle w:val="Nagwek1"/>
        <w:rPr>
          <w:rFonts w:ascii="Arial" w:hAnsi="Arial" w:cs="Arial"/>
          <w:bCs/>
          <w:sz w:val="20"/>
        </w:rPr>
      </w:pPr>
      <w:r w:rsidRPr="00AB667B">
        <w:rPr>
          <w:rFonts w:ascii="Arial" w:hAnsi="Arial" w:cs="Arial"/>
          <w:bCs/>
          <w:sz w:val="20"/>
        </w:rPr>
        <w:t xml:space="preserve">Zał. Nr </w:t>
      </w:r>
      <w:r w:rsidR="000119C6" w:rsidRPr="00AB667B">
        <w:rPr>
          <w:rFonts w:ascii="Arial" w:hAnsi="Arial" w:cs="Arial"/>
          <w:bCs/>
          <w:sz w:val="20"/>
        </w:rPr>
        <w:t>1</w:t>
      </w:r>
      <w:r w:rsidRPr="00AB667B">
        <w:rPr>
          <w:rFonts w:ascii="Arial" w:hAnsi="Arial" w:cs="Arial"/>
          <w:bCs/>
          <w:sz w:val="20"/>
        </w:rPr>
        <w:t xml:space="preserve"> do </w:t>
      </w:r>
      <w:r w:rsidR="000119C6" w:rsidRPr="00AB667B">
        <w:rPr>
          <w:rFonts w:ascii="Arial" w:hAnsi="Arial" w:cs="Arial"/>
          <w:bCs/>
          <w:sz w:val="20"/>
        </w:rPr>
        <w:t>SWZ</w:t>
      </w:r>
    </w:p>
    <w:p w14:paraId="3B4F328F" w14:textId="77777777" w:rsidR="00D14420" w:rsidRPr="00AB667B" w:rsidRDefault="00D14420" w:rsidP="00D14420">
      <w:pPr>
        <w:ind w:left="284" w:hanging="284"/>
        <w:jc w:val="both"/>
        <w:rPr>
          <w:sz w:val="24"/>
          <w:szCs w:val="24"/>
          <w:lang w:eastAsia="zh-CN"/>
        </w:rPr>
      </w:pPr>
    </w:p>
    <w:p w14:paraId="68537B3A" w14:textId="77777777" w:rsidR="00D14420" w:rsidRPr="00AB667B" w:rsidRDefault="00D14420" w:rsidP="00D14420">
      <w:pPr>
        <w:ind w:left="284" w:hanging="284"/>
        <w:jc w:val="center"/>
        <w:rPr>
          <w:b/>
          <w:sz w:val="24"/>
          <w:szCs w:val="24"/>
          <w:lang w:eastAsia="zh-CN"/>
        </w:rPr>
      </w:pPr>
      <w:r w:rsidRPr="00AB667B">
        <w:rPr>
          <w:b/>
          <w:sz w:val="24"/>
          <w:szCs w:val="24"/>
          <w:lang w:eastAsia="zh-CN"/>
        </w:rPr>
        <w:t>OPIS PRZEDMIOTU ZAMÓWIENIA</w:t>
      </w:r>
    </w:p>
    <w:p w14:paraId="65AB53C2" w14:textId="77777777" w:rsidR="00D14420" w:rsidRPr="00AB667B" w:rsidRDefault="00D14420" w:rsidP="00D14420">
      <w:pPr>
        <w:ind w:left="284" w:hanging="284"/>
        <w:jc w:val="center"/>
        <w:rPr>
          <w:b/>
          <w:sz w:val="24"/>
          <w:szCs w:val="24"/>
          <w:lang w:eastAsia="zh-CN"/>
        </w:rPr>
      </w:pPr>
    </w:p>
    <w:p w14:paraId="25AE88BA" w14:textId="15A648B5" w:rsidR="000A195E" w:rsidRDefault="00663284" w:rsidP="00BB704E">
      <w:pPr>
        <w:ind w:left="284" w:hanging="284"/>
        <w:jc w:val="center"/>
        <w:rPr>
          <w:rFonts w:ascii="Arial" w:hAnsi="Arial" w:cs="Arial"/>
          <w:b/>
          <w:i/>
          <w:sz w:val="24"/>
          <w:szCs w:val="24"/>
        </w:rPr>
      </w:pPr>
      <w:r w:rsidRPr="00AB667B">
        <w:rPr>
          <w:rFonts w:ascii="Arial" w:hAnsi="Arial" w:cs="Arial"/>
          <w:b/>
          <w:i/>
          <w:sz w:val="24"/>
          <w:szCs w:val="24"/>
        </w:rPr>
        <w:t>„</w:t>
      </w:r>
      <w:r w:rsidR="00457656" w:rsidRPr="00AB667B">
        <w:rPr>
          <w:rFonts w:ascii="Arial" w:hAnsi="Arial" w:cs="Arial"/>
          <w:b/>
          <w:i/>
          <w:sz w:val="24"/>
          <w:szCs w:val="24"/>
        </w:rPr>
        <w:t>Dostawa samochodu</w:t>
      </w:r>
      <w:r w:rsidR="008E5209">
        <w:rPr>
          <w:rFonts w:ascii="Arial" w:hAnsi="Arial" w:cs="Arial"/>
          <w:b/>
          <w:i/>
          <w:sz w:val="24"/>
          <w:szCs w:val="24"/>
        </w:rPr>
        <w:t xml:space="preserve"> specjalnego lekkiego operacyjnego</w:t>
      </w:r>
      <w:r w:rsidR="00457656" w:rsidRPr="00AB667B">
        <w:rPr>
          <w:rFonts w:ascii="Arial" w:hAnsi="Arial" w:cs="Arial"/>
          <w:b/>
          <w:i/>
          <w:sz w:val="24"/>
          <w:szCs w:val="24"/>
        </w:rPr>
        <w:t xml:space="preserve"> </w:t>
      </w:r>
    </w:p>
    <w:p w14:paraId="78B924B2" w14:textId="314AF2B4" w:rsidR="00BB704E" w:rsidRPr="00AB667B" w:rsidRDefault="000A195E" w:rsidP="00BB704E">
      <w:pPr>
        <w:ind w:left="284" w:hanging="284"/>
        <w:jc w:val="center"/>
        <w:rPr>
          <w:rFonts w:ascii="Arial" w:hAnsi="Arial" w:cs="Arial"/>
          <w:b/>
          <w:i/>
          <w:sz w:val="24"/>
          <w:szCs w:val="24"/>
        </w:rPr>
      </w:pPr>
      <w:r w:rsidRPr="000A195E">
        <w:rPr>
          <w:rFonts w:ascii="Arial" w:hAnsi="Arial" w:cs="Arial"/>
          <w:b/>
          <w:i/>
          <w:sz w:val="24"/>
          <w:szCs w:val="24"/>
        </w:rPr>
        <w:t xml:space="preserve">dla Komendy Powiatowej Państwowej Straży Pożarnej w </w:t>
      </w:r>
      <w:r w:rsidR="00471B2D">
        <w:rPr>
          <w:rFonts w:ascii="Arial" w:hAnsi="Arial" w:cs="Arial"/>
          <w:b/>
          <w:i/>
          <w:sz w:val="24"/>
          <w:szCs w:val="24"/>
        </w:rPr>
        <w:t>Koluszkach</w:t>
      </w:r>
      <w:r w:rsidR="00BB704E" w:rsidRPr="00AB667B">
        <w:rPr>
          <w:rFonts w:ascii="Arial" w:hAnsi="Arial" w:cs="Arial"/>
          <w:b/>
          <w:i/>
          <w:sz w:val="24"/>
          <w:szCs w:val="24"/>
        </w:rPr>
        <w:t>”</w:t>
      </w:r>
    </w:p>
    <w:p w14:paraId="71C1BE17" w14:textId="77777777" w:rsidR="00D14420" w:rsidRPr="00AB667B" w:rsidRDefault="00BB704E" w:rsidP="00BB704E">
      <w:pPr>
        <w:ind w:left="284" w:hanging="284"/>
        <w:jc w:val="center"/>
        <w:rPr>
          <w:rFonts w:ascii="Arial" w:hAnsi="Arial" w:cs="Arial"/>
          <w:b/>
          <w:i/>
          <w:sz w:val="24"/>
          <w:szCs w:val="24"/>
        </w:rPr>
      </w:pPr>
      <w:r w:rsidRPr="00AB667B">
        <w:rPr>
          <w:rFonts w:ascii="Arial" w:hAnsi="Arial" w:cs="Arial"/>
          <w:b/>
          <w:i/>
          <w:sz w:val="24"/>
          <w:szCs w:val="24"/>
        </w:rPr>
        <w:t>Szczegółowy opis przedmiotu zamówienia – wymagania minimalne.</w:t>
      </w:r>
    </w:p>
    <w:p w14:paraId="30A67B42" w14:textId="77777777" w:rsidR="003E25C5" w:rsidRPr="00AB667B" w:rsidRDefault="003E25C5" w:rsidP="00BB704E">
      <w:pPr>
        <w:ind w:left="284" w:hanging="284"/>
        <w:jc w:val="center"/>
        <w:rPr>
          <w:rFonts w:ascii="Arial" w:hAnsi="Arial" w:cs="Arial"/>
          <w:b/>
          <w:i/>
          <w:sz w:val="24"/>
          <w:szCs w:val="24"/>
        </w:rPr>
      </w:pPr>
      <w:r w:rsidRPr="00AB667B">
        <w:rPr>
          <w:rFonts w:ascii="Arial" w:hAnsi="Arial" w:cs="Arial"/>
          <w:b/>
          <w:i/>
          <w:sz w:val="24"/>
          <w:szCs w:val="24"/>
        </w:rPr>
        <w:t>Oferta techniczna.</w:t>
      </w:r>
    </w:p>
    <w:p w14:paraId="7DD35309" w14:textId="77777777" w:rsidR="00D14420" w:rsidRPr="00AB667B"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AB667B" w:rsidRPr="00AB667B" w14:paraId="79C3A92C" w14:textId="77777777" w:rsidTr="008E4DBF">
        <w:tc>
          <w:tcPr>
            <w:tcW w:w="796" w:type="dxa"/>
            <w:tcBorders>
              <w:bottom w:val="single" w:sz="4" w:space="0" w:color="auto"/>
            </w:tcBorders>
            <w:shd w:val="pct15" w:color="auto" w:fill="auto"/>
          </w:tcPr>
          <w:p w14:paraId="2F258C16" w14:textId="77777777" w:rsidR="00D14420" w:rsidRPr="00AB667B" w:rsidRDefault="00D14420" w:rsidP="008E4DBF">
            <w:pPr>
              <w:jc w:val="center"/>
              <w:rPr>
                <w:b/>
              </w:rPr>
            </w:pPr>
            <w:r w:rsidRPr="00AB667B">
              <w:rPr>
                <w:b/>
              </w:rPr>
              <w:t>Lp.</w:t>
            </w:r>
          </w:p>
        </w:tc>
        <w:tc>
          <w:tcPr>
            <w:tcW w:w="10539" w:type="dxa"/>
            <w:tcBorders>
              <w:bottom w:val="single" w:sz="4" w:space="0" w:color="auto"/>
            </w:tcBorders>
            <w:shd w:val="pct15" w:color="auto" w:fill="auto"/>
          </w:tcPr>
          <w:p w14:paraId="4E7BFFBC" w14:textId="77777777" w:rsidR="00D14420" w:rsidRPr="00AB667B" w:rsidRDefault="00D14420" w:rsidP="008E4DBF">
            <w:pPr>
              <w:jc w:val="center"/>
              <w:rPr>
                <w:b/>
              </w:rPr>
            </w:pPr>
            <w:r w:rsidRPr="00AB667B">
              <w:rPr>
                <w:b/>
              </w:rPr>
              <w:t>Wymagania minimalne</w:t>
            </w:r>
          </w:p>
        </w:tc>
        <w:tc>
          <w:tcPr>
            <w:tcW w:w="2127" w:type="dxa"/>
            <w:tcBorders>
              <w:bottom w:val="single" w:sz="4" w:space="0" w:color="auto"/>
            </w:tcBorders>
            <w:shd w:val="pct15" w:color="auto" w:fill="auto"/>
          </w:tcPr>
          <w:p w14:paraId="060E9DAD" w14:textId="77777777" w:rsidR="00D14420" w:rsidRPr="00AB667B" w:rsidRDefault="00D14420" w:rsidP="008E4DBF">
            <w:pPr>
              <w:jc w:val="center"/>
              <w:rPr>
                <w:b/>
              </w:rPr>
            </w:pPr>
            <w:r w:rsidRPr="00AB667B">
              <w:rPr>
                <w:b/>
              </w:rPr>
              <w:t>Propozycja Wykonawcy</w:t>
            </w:r>
          </w:p>
        </w:tc>
      </w:tr>
      <w:tr w:rsidR="00AB667B" w:rsidRPr="00AB667B" w14:paraId="50D041DF" w14:textId="77777777" w:rsidTr="008E4DBF">
        <w:tc>
          <w:tcPr>
            <w:tcW w:w="796" w:type="dxa"/>
            <w:tcBorders>
              <w:bottom w:val="single" w:sz="4" w:space="0" w:color="auto"/>
            </w:tcBorders>
            <w:shd w:val="pct15" w:color="auto" w:fill="auto"/>
          </w:tcPr>
          <w:p w14:paraId="623DE715" w14:textId="77777777" w:rsidR="00D14420" w:rsidRPr="00AB667B" w:rsidRDefault="00D14420" w:rsidP="008E4DBF">
            <w:pPr>
              <w:jc w:val="center"/>
              <w:rPr>
                <w:b/>
              </w:rPr>
            </w:pPr>
            <w:r w:rsidRPr="00AB667B">
              <w:rPr>
                <w:b/>
              </w:rPr>
              <w:t>1.</w:t>
            </w:r>
          </w:p>
        </w:tc>
        <w:tc>
          <w:tcPr>
            <w:tcW w:w="10539" w:type="dxa"/>
            <w:tcBorders>
              <w:bottom w:val="single" w:sz="4" w:space="0" w:color="auto"/>
            </w:tcBorders>
            <w:shd w:val="pct15" w:color="auto" w:fill="auto"/>
          </w:tcPr>
          <w:p w14:paraId="7BD6F242" w14:textId="77777777" w:rsidR="00D14420" w:rsidRPr="00AB667B" w:rsidRDefault="00D14420" w:rsidP="008E4DBF">
            <w:pPr>
              <w:jc w:val="center"/>
              <w:rPr>
                <w:b/>
              </w:rPr>
            </w:pPr>
            <w:r w:rsidRPr="00AB667B">
              <w:rPr>
                <w:b/>
              </w:rPr>
              <w:t>2.</w:t>
            </w:r>
          </w:p>
        </w:tc>
        <w:tc>
          <w:tcPr>
            <w:tcW w:w="2127" w:type="dxa"/>
            <w:tcBorders>
              <w:bottom w:val="single" w:sz="4" w:space="0" w:color="auto"/>
            </w:tcBorders>
            <w:shd w:val="pct15" w:color="auto" w:fill="auto"/>
          </w:tcPr>
          <w:p w14:paraId="0018C1D2" w14:textId="77777777" w:rsidR="00D14420" w:rsidRPr="00AB667B" w:rsidRDefault="00D14420" w:rsidP="008E4DBF">
            <w:pPr>
              <w:jc w:val="center"/>
              <w:rPr>
                <w:b/>
              </w:rPr>
            </w:pPr>
            <w:r w:rsidRPr="00AB667B">
              <w:rPr>
                <w:b/>
              </w:rPr>
              <w:t>3.</w:t>
            </w:r>
          </w:p>
        </w:tc>
      </w:tr>
      <w:tr w:rsidR="00AB667B" w:rsidRPr="00AB667B" w14:paraId="466874DE" w14:textId="77777777" w:rsidTr="005B687A">
        <w:tc>
          <w:tcPr>
            <w:tcW w:w="796" w:type="dxa"/>
          </w:tcPr>
          <w:p w14:paraId="607BE4C6" w14:textId="77777777" w:rsidR="00BB704E" w:rsidRPr="00AB667B" w:rsidRDefault="00BB704E" w:rsidP="008E4DBF">
            <w:pPr>
              <w:jc w:val="center"/>
            </w:pPr>
            <w:r w:rsidRPr="00AB667B">
              <w:t>1.</w:t>
            </w:r>
          </w:p>
        </w:tc>
        <w:tc>
          <w:tcPr>
            <w:tcW w:w="10539" w:type="dxa"/>
            <w:vAlign w:val="center"/>
          </w:tcPr>
          <w:p w14:paraId="0C046277" w14:textId="0936ECE6" w:rsidR="00BB704E" w:rsidRPr="00AB667B" w:rsidRDefault="00BB704E">
            <w:pPr>
              <w:pStyle w:val="NormalnyWeb"/>
              <w:spacing w:before="0" w:beforeAutospacing="0" w:after="0" w:afterAutospacing="0"/>
              <w:jc w:val="both"/>
            </w:pPr>
            <w:r w:rsidRPr="00AB667B">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1F421D3D" w14:textId="14121157" w:rsidR="00BB704E" w:rsidRPr="00AB667B" w:rsidRDefault="00CA700D" w:rsidP="008E4DBF">
            <w:pPr>
              <w:jc w:val="both"/>
            </w:pPr>
            <w:r>
              <w:t>Spełnia/ nie spełnia</w:t>
            </w:r>
          </w:p>
        </w:tc>
      </w:tr>
      <w:tr w:rsidR="00AB667B" w:rsidRPr="00AB667B" w14:paraId="45EFEE67" w14:textId="77777777" w:rsidTr="008E4DBF">
        <w:tc>
          <w:tcPr>
            <w:tcW w:w="796" w:type="dxa"/>
          </w:tcPr>
          <w:p w14:paraId="30583BF8" w14:textId="77777777" w:rsidR="00BB704E" w:rsidRPr="00AB667B" w:rsidRDefault="00BB704E" w:rsidP="008E4DBF">
            <w:pPr>
              <w:jc w:val="center"/>
            </w:pPr>
            <w:r w:rsidRPr="00AB667B">
              <w:t>2.</w:t>
            </w:r>
          </w:p>
        </w:tc>
        <w:tc>
          <w:tcPr>
            <w:tcW w:w="10539" w:type="dxa"/>
          </w:tcPr>
          <w:p w14:paraId="5F4771AB" w14:textId="77777777" w:rsidR="00BB704E" w:rsidRDefault="00BB704E" w:rsidP="008E4DBF">
            <w:pPr>
              <w:tabs>
                <w:tab w:val="num" w:pos="1440"/>
              </w:tabs>
              <w:jc w:val="both"/>
            </w:pPr>
            <w:r w:rsidRPr="00AB667B">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650CAC5D" w14:textId="77777777" w:rsidR="008E5209" w:rsidRDefault="008E5209" w:rsidP="008E4DBF">
            <w:pPr>
              <w:tabs>
                <w:tab w:val="num" w:pos="1440"/>
              </w:tabs>
              <w:jc w:val="both"/>
            </w:pPr>
          </w:p>
          <w:p w14:paraId="44017255" w14:textId="363D3450" w:rsidR="008E5209" w:rsidRPr="00AB667B" w:rsidRDefault="008E5209" w:rsidP="008E4DBF">
            <w:pPr>
              <w:tabs>
                <w:tab w:val="num" w:pos="1440"/>
              </w:tabs>
              <w:jc w:val="both"/>
            </w:pPr>
            <w:r w:rsidRPr="008E5209">
              <w:t>UWAGA: radiostację, sygnalizację świetlną i dźwiękową Zamawiający dostarczy we własnym zakresie. Do obowiązków Wykonawcy będzie należał ich montaż.</w:t>
            </w:r>
          </w:p>
        </w:tc>
        <w:tc>
          <w:tcPr>
            <w:tcW w:w="2127" w:type="dxa"/>
          </w:tcPr>
          <w:p w14:paraId="068C0D89" w14:textId="421DD20F" w:rsidR="00BB704E" w:rsidRPr="00AB667B" w:rsidRDefault="00CA700D" w:rsidP="008E4DBF">
            <w:pPr>
              <w:tabs>
                <w:tab w:val="num" w:pos="1440"/>
              </w:tabs>
              <w:jc w:val="both"/>
            </w:pPr>
            <w:r>
              <w:t>Spełnia/nie spełnia</w:t>
            </w:r>
          </w:p>
        </w:tc>
      </w:tr>
      <w:tr w:rsidR="00AB667B" w:rsidRPr="00AB667B" w14:paraId="0F206639" w14:textId="77777777" w:rsidTr="008E4DBF">
        <w:trPr>
          <w:trHeight w:val="381"/>
        </w:trPr>
        <w:tc>
          <w:tcPr>
            <w:tcW w:w="796" w:type="dxa"/>
          </w:tcPr>
          <w:p w14:paraId="2099B0A6" w14:textId="77777777" w:rsidR="00BB704E" w:rsidRPr="00AB667B" w:rsidRDefault="00BB704E" w:rsidP="008E4DBF">
            <w:pPr>
              <w:jc w:val="center"/>
            </w:pPr>
            <w:r w:rsidRPr="00AB667B">
              <w:t>3.</w:t>
            </w:r>
          </w:p>
        </w:tc>
        <w:tc>
          <w:tcPr>
            <w:tcW w:w="10539" w:type="dxa"/>
          </w:tcPr>
          <w:p w14:paraId="431A91DE" w14:textId="0D308EC5" w:rsidR="00BB704E" w:rsidRPr="00AB667B" w:rsidRDefault="00BB704E" w:rsidP="00BB704E">
            <w:pPr>
              <w:tabs>
                <w:tab w:val="num" w:pos="851"/>
              </w:tabs>
              <w:jc w:val="both"/>
              <w:rPr>
                <w:kern w:val="24"/>
              </w:rPr>
            </w:pPr>
            <w:r w:rsidRPr="00AB667B">
              <w:rPr>
                <w:kern w:val="24"/>
              </w:rPr>
              <w:t xml:space="preserve">Pojazd fabrycznie nowy, przystosowany do ruchu prawostronnego (kierownica po lewej stronie). </w:t>
            </w:r>
            <w:r w:rsidR="00274379" w:rsidRPr="00AB667B">
              <w:rPr>
                <w:kern w:val="24"/>
              </w:rPr>
              <w:t xml:space="preserve">Rok produkcji nie wcześniejszy niż 2025 </w:t>
            </w:r>
            <w:r w:rsidR="00F6587D" w:rsidRPr="00AB667B">
              <w:rPr>
                <w:kern w:val="24"/>
              </w:rPr>
              <w:t>r.</w:t>
            </w:r>
            <w:r w:rsidRPr="00AB667B">
              <w:rPr>
                <w:kern w:val="24"/>
              </w:rPr>
              <w:t xml:space="preserve"> Zamawiający dopuszcza zaoferowanie pojazdu zarejestrowanego jednokrotnie na dealera.</w:t>
            </w:r>
          </w:p>
          <w:p w14:paraId="6D5AC903" w14:textId="77777777" w:rsidR="00BB704E" w:rsidRPr="00AB667B" w:rsidRDefault="00BB704E" w:rsidP="00BB704E">
            <w:pPr>
              <w:tabs>
                <w:tab w:val="num" w:pos="851"/>
              </w:tabs>
              <w:jc w:val="both"/>
              <w:rPr>
                <w:kern w:val="24"/>
              </w:rPr>
            </w:pPr>
            <w:r w:rsidRPr="00AB667B">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4EDE7059" w14:textId="77777777" w:rsidR="00BB704E" w:rsidRPr="00AB667B" w:rsidRDefault="00BB704E" w:rsidP="008E4DBF">
            <w:pPr>
              <w:tabs>
                <w:tab w:val="num" w:pos="851"/>
              </w:tabs>
              <w:jc w:val="both"/>
              <w:rPr>
                <w:i/>
                <w:kern w:val="24"/>
                <w:sz w:val="16"/>
              </w:rPr>
            </w:pPr>
            <w:r w:rsidRPr="00AB667B">
              <w:rPr>
                <w:i/>
                <w:kern w:val="24"/>
                <w:sz w:val="16"/>
              </w:rPr>
              <w:t>Należy podać markę, typ i model oferowanego pojazdu bazowego.</w:t>
            </w:r>
          </w:p>
          <w:p w14:paraId="4688F4B4" w14:textId="77777777" w:rsidR="00BB704E" w:rsidRPr="00AB667B" w:rsidRDefault="00BB704E" w:rsidP="008E4DBF">
            <w:pPr>
              <w:tabs>
                <w:tab w:val="num" w:pos="851"/>
              </w:tabs>
              <w:jc w:val="both"/>
              <w:rPr>
                <w:i/>
                <w:kern w:val="24"/>
                <w:sz w:val="16"/>
              </w:rPr>
            </w:pPr>
          </w:p>
        </w:tc>
      </w:tr>
      <w:tr w:rsidR="00AB667B" w:rsidRPr="00AB667B" w14:paraId="5C91B23E" w14:textId="77777777" w:rsidTr="008E4DBF">
        <w:trPr>
          <w:trHeight w:val="693"/>
        </w:trPr>
        <w:tc>
          <w:tcPr>
            <w:tcW w:w="796" w:type="dxa"/>
          </w:tcPr>
          <w:p w14:paraId="68FE6176" w14:textId="77777777" w:rsidR="00BB704E" w:rsidRPr="00AB667B" w:rsidRDefault="00BB704E" w:rsidP="008E4DBF">
            <w:pPr>
              <w:jc w:val="center"/>
            </w:pPr>
            <w:r w:rsidRPr="00AB667B">
              <w:t>4.</w:t>
            </w:r>
          </w:p>
        </w:tc>
        <w:tc>
          <w:tcPr>
            <w:tcW w:w="10539" w:type="dxa"/>
          </w:tcPr>
          <w:p w14:paraId="01EDD406" w14:textId="77777777" w:rsidR="00BB704E" w:rsidRPr="00AB667B" w:rsidRDefault="00BB704E" w:rsidP="00BB704E">
            <w:pPr>
              <w:jc w:val="both"/>
            </w:pPr>
            <w:r w:rsidRPr="00AB667B">
              <w:rPr>
                <w:kern w:val="24"/>
              </w:rPr>
              <w:t xml:space="preserve">Wszystkie funkcje użytkowe pojazdu muszą być zapewnione w warunkach temperatury zewnętrznej w przedziale od </w:t>
            </w:r>
            <w:r w:rsidRPr="00AB667B">
              <w:rPr>
                <w:kern w:val="24"/>
              </w:rPr>
              <w:br/>
              <w:t xml:space="preserve">-25 </w:t>
            </w:r>
            <w:proofErr w:type="spellStart"/>
            <w:r w:rsidRPr="00AB667B">
              <w:rPr>
                <w:kern w:val="24"/>
                <w:vertAlign w:val="superscript"/>
              </w:rPr>
              <w:t>o</w:t>
            </w:r>
            <w:r w:rsidRPr="00AB667B">
              <w:rPr>
                <w:kern w:val="24"/>
              </w:rPr>
              <w:t>C</w:t>
            </w:r>
            <w:proofErr w:type="spellEnd"/>
            <w:r w:rsidRPr="00AB667B">
              <w:rPr>
                <w:kern w:val="24"/>
              </w:rPr>
              <w:t xml:space="preserve"> do +</w:t>
            </w:r>
            <w:r w:rsidR="00D96DA6" w:rsidRPr="00AB667B">
              <w:rPr>
                <w:kern w:val="24"/>
              </w:rPr>
              <w:t xml:space="preserve"> 50 </w:t>
            </w:r>
            <w:r w:rsidR="00D96DA6" w:rsidRPr="00AB667B">
              <w:rPr>
                <w:kern w:val="24"/>
                <w:vertAlign w:val="superscript"/>
              </w:rPr>
              <w:t>0</w:t>
            </w:r>
            <w:r w:rsidR="00D96DA6" w:rsidRPr="00AB667B">
              <w:rPr>
                <w:kern w:val="24"/>
              </w:rPr>
              <w:t>C</w:t>
            </w:r>
            <w:r w:rsidRPr="00AB667B">
              <w:rPr>
                <w:kern w:val="24"/>
              </w:rPr>
              <w:t xml:space="preserve">. </w:t>
            </w:r>
            <w:r w:rsidRPr="00AB667B">
              <w:t>Spełnienie powyższych wymagań musi być potwierdzone oświadczeniem Wykonawcy, przekazanym Zamawiającemu najpóźniej w dniu odbioru techniczno-jakościowego.</w:t>
            </w:r>
          </w:p>
          <w:p w14:paraId="1BEB89BA" w14:textId="68A214FB" w:rsidR="00BB704E" w:rsidRPr="00AB667B" w:rsidRDefault="00BB704E" w:rsidP="00056295">
            <w:pPr>
              <w:jc w:val="both"/>
            </w:pPr>
            <w:r w:rsidRPr="00AB667B">
              <w:lastRenderedPageBreak/>
              <w:t xml:space="preserve">Silnik spalinowy o pojemności skokowej nie mniejszej niż 1950 cm3, spełniający obowiązujące na dzień odbioru pojazdu wymogi prawne w zakresie czystości spalin. </w:t>
            </w:r>
            <w:r w:rsidR="00056295" w:rsidRPr="00AB667B">
              <w:t>M</w:t>
            </w:r>
            <w:r w:rsidRPr="00AB667B">
              <w:t>oc silnika minimum 1</w:t>
            </w:r>
            <w:r w:rsidR="00093E13">
              <w:t>02</w:t>
            </w:r>
            <w:r w:rsidRPr="00AB667B">
              <w:t xml:space="preserve"> </w:t>
            </w:r>
            <w:proofErr w:type="spellStart"/>
            <w:r w:rsidRPr="00AB667B">
              <w:t>kW.</w:t>
            </w:r>
            <w:proofErr w:type="spellEnd"/>
          </w:p>
        </w:tc>
        <w:tc>
          <w:tcPr>
            <w:tcW w:w="2127" w:type="dxa"/>
          </w:tcPr>
          <w:p w14:paraId="360F6A1B" w14:textId="41EF1415" w:rsidR="002B58E5" w:rsidRPr="00AB667B" w:rsidRDefault="002B58E5" w:rsidP="002B58E5">
            <w:pPr>
              <w:pStyle w:val="docdata"/>
              <w:spacing w:before="0" w:beforeAutospacing="0" w:after="0" w:afterAutospacing="0"/>
              <w:jc w:val="both"/>
            </w:pPr>
            <w:r w:rsidRPr="00AB667B">
              <w:rPr>
                <w:i/>
                <w:iCs/>
                <w:sz w:val="16"/>
                <w:szCs w:val="16"/>
              </w:rPr>
              <w:lastRenderedPageBreak/>
              <w:t>Należy podać typ, pojemność skokową w cm</w:t>
            </w:r>
            <w:r w:rsidRPr="00AB667B">
              <w:rPr>
                <w:i/>
                <w:iCs/>
                <w:sz w:val="16"/>
                <w:szCs w:val="16"/>
                <w:vertAlign w:val="superscript"/>
              </w:rPr>
              <w:t>3</w:t>
            </w:r>
            <w:r w:rsidRPr="00AB667B">
              <w:rPr>
                <w:i/>
                <w:iCs/>
                <w:sz w:val="16"/>
                <w:szCs w:val="16"/>
              </w:rPr>
              <w:t>, maksymalną moc silnika w kW oraz rodzaj stosowanego paliwa.</w:t>
            </w:r>
          </w:p>
          <w:p w14:paraId="08666DDF" w14:textId="77777777" w:rsidR="00BB704E" w:rsidRPr="00AB667B" w:rsidRDefault="00BB704E" w:rsidP="002B58E5">
            <w:pPr>
              <w:jc w:val="both"/>
            </w:pPr>
          </w:p>
        </w:tc>
      </w:tr>
      <w:tr w:rsidR="00AB667B" w:rsidRPr="00AB667B" w14:paraId="3B025447" w14:textId="77777777" w:rsidTr="009C6607">
        <w:tc>
          <w:tcPr>
            <w:tcW w:w="796" w:type="dxa"/>
          </w:tcPr>
          <w:p w14:paraId="5C6FD122" w14:textId="77777777" w:rsidR="00587419" w:rsidRPr="00AB667B" w:rsidRDefault="00587419" w:rsidP="008E4DBF">
            <w:pPr>
              <w:jc w:val="center"/>
            </w:pPr>
            <w:r w:rsidRPr="00AB667B">
              <w:t>5.</w:t>
            </w:r>
          </w:p>
        </w:tc>
        <w:tc>
          <w:tcPr>
            <w:tcW w:w="10539" w:type="dxa"/>
            <w:vAlign w:val="center"/>
          </w:tcPr>
          <w:p w14:paraId="48B6F2AC" w14:textId="59168A54" w:rsidR="00CA700D" w:rsidRPr="00CA700D" w:rsidRDefault="00587419" w:rsidP="00056295">
            <w:pPr>
              <w:pStyle w:val="NormalnyWeb"/>
              <w:spacing w:before="0" w:beforeAutospacing="0" w:after="0" w:afterAutospacing="0"/>
              <w:jc w:val="both"/>
              <w:rPr>
                <w:color w:val="EE0000"/>
                <w:sz w:val="20"/>
                <w:szCs w:val="20"/>
              </w:rPr>
            </w:pPr>
            <w:r w:rsidRPr="00AB667B">
              <w:rPr>
                <w:sz w:val="20"/>
                <w:szCs w:val="20"/>
              </w:rPr>
              <w:t>Kategoria pojazdu:</w:t>
            </w:r>
            <w:r w:rsidRPr="008E5209">
              <w:rPr>
                <w:color w:val="EE0000"/>
                <w:sz w:val="20"/>
                <w:szCs w:val="20"/>
              </w:rPr>
              <w:t xml:space="preserve"> </w:t>
            </w:r>
            <w:r w:rsidRPr="00CA700D">
              <w:rPr>
                <w:sz w:val="20"/>
                <w:szCs w:val="20"/>
              </w:rPr>
              <w:t>osobow</w:t>
            </w:r>
            <w:r w:rsidR="00457656" w:rsidRPr="00CA700D">
              <w:rPr>
                <w:sz w:val="20"/>
                <w:szCs w:val="20"/>
              </w:rPr>
              <w:t>y</w:t>
            </w:r>
            <w:r w:rsidRPr="00CA700D">
              <w:rPr>
                <w:sz w:val="20"/>
                <w:szCs w:val="20"/>
              </w:rPr>
              <w:t xml:space="preserve">. Rodzaj nadwozia: zamknięte, całkowicie przeszklone, przystosowane do przewozu </w:t>
            </w:r>
            <w:r w:rsidR="00457656" w:rsidRPr="00CA700D">
              <w:rPr>
                <w:sz w:val="20"/>
                <w:szCs w:val="20"/>
              </w:rPr>
              <w:t xml:space="preserve">osób oraz </w:t>
            </w:r>
            <w:r w:rsidR="00AB667B" w:rsidRPr="00CA700D">
              <w:rPr>
                <w:sz w:val="20"/>
                <w:szCs w:val="20"/>
              </w:rPr>
              <w:t>ładunku (</w:t>
            </w:r>
            <w:r w:rsidR="00457656" w:rsidRPr="00CA700D">
              <w:rPr>
                <w:sz w:val="20"/>
                <w:szCs w:val="20"/>
              </w:rPr>
              <w:t>po demontażu foteli drugiego i trzeciego rzędu</w:t>
            </w:r>
            <w:r w:rsidR="00AB667B" w:rsidRPr="00CA700D">
              <w:rPr>
                <w:sz w:val="20"/>
                <w:szCs w:val="20"/>
              </w:rPr>
              <w:t>)</w:t>
            </w:r>
            <w:r w:rsidR="00457656" w:rsidRPr="00CA700D">
              <w:rPr>
                <w:sz w:val="20"/>
                <w:szCs w:val="20"/>
              </w:rPr>
              <w:t xml:space="preserve">. </w:t>
            </w:r>
            <w:r w:rsidRPr="00CA700D">
              <w:rPr>
                <w:sz w:val="20"/>
                <w:szCs w:val="20"/>
              </w:rPr>
              <w:t xml:space="preserve">Przednie boczne drzwi uchylne (2 szt.), drzwi boczne przesuwne do przestrzeni pasażerskiej po obu stronach pojazdu. </w:t>
            </w:r>
            <w:r w:rsidR="00CA700D" w:rsidRPr="00CA700D">
              <w:rPr>
                <w:sz w:val="20"/>
                <w:szCs w:val="20"/>
              </w:rPr>
              <w:t>Drzwi tylne z kątem otwarcia 180</w:t>
            </w:r>
            <w:r w:rsidR="00CA700D" w:rsidRPr="00CA700D">
              <w:rPr>
                <w:b/>
                <w:bCs/>
                <w:sz w:val="20"/>
                <w:szCs w:val="20"/>
              </w:rPr>
              <w:t>°.</w:t>
            </w:r>
          </w:p>
        </w:tc>
        <w:tc>
          <w:tcPr>
            <w:tcW w:w="2127" w:type="dxa"/>
          </w:tcPr>
          <w:p w14:paraId="2D888AD9" w14:textId="77777777" w:rsidR="00587419" w:rsidRPr="00AB667B" w:rsidRDefault="00587419" w:rsidP="008E4DBF">
            <w:pPr>
              <w:jc w:val="both"/>
              <w:rPr>
                <w:kern w:val="24"/>
              </w:rPr>
            </w:pPr>
          </w:p>
          <w:p w14:paraId="6A4382EB" w14:textId="49FE4465" w:rsidR="00587419" w:rsidRPr="00AB667B" w:rsidRDefault="00CA700D" w:rsidP="008E4DBF">
            <w:pPr>
              <w:jc w:val="both"/>
              <w:rPr>
                <w:kern w:val="24"/>
              </w:rPr>
            </w:pPr>
            <w:r>
              <w:rPr>
                <w:kern w:val="24"/>
              </w:rPr>
              <w:t>Spełnia/nie spełnia</w:t>
            </w:r>
          </w:p>
        </w:tc>
      </w:tr>
      <w:tr w:rsidR="00AB667B" w:rsidRPr="00AB667B" w14:paraId="6D3C3B6E" w14:textId="77777777" w:rsidTr="000C5D21">
        <w:tc>
          <w:tcPr>
            <w:tcW w:w="796" w:type="dxa"/>
          </w:tcPr>
          <w:p w14:paraId="6367F8A4" w14:textId="77777777" w:rsidR="00056295" w:rsidRPr="00AB667B" w:rsidRDefault="00056295" w:rsidP="008E4DBF">
            <w:pPr>
              <w:jc w:val="center"/>
            </w:pPr>
            <w:r w:rsidRPr="00AB667B">
              <w:t>6.</w:t>
            </w:r>
          </w:p>
        </w:tc>
        <w:tc>
          <w:tcPr>
            <w:tcW w:w="10539" w:type="dxa"/>
          </w:tcPr>
          <w:p w14:paraId="26BA850B" w14:textId="08623013" w:rsidR="00056295" w:rsidRPr="00AB667B" w:rsidRDefault="00056295" w:rsidP="001F3AA0">
            <w:pPr>
              <w:jc w:val="both"/>
              <w:rPr>
                <w:kern w:val="24"/>
              </w:rPr>
            </w:pPr>
            <w:r w:rsidRPr="00AB667B">
              <w:rPr>
                <w:kern w:val="24"/>
              </w:rPr>
              <w:t xml:space="preserve">Kolor fabryczny nadwozia </w:t>
            </w:r>
            <w:r w:rsidR="003E0BD8" w:rsidRPr="00AB667B">
              <w:rPr>
                <w:kern w:val="24"/>
              </w:rPr>
              <w:t>czarny</w:t>
            </w:r>
            <w:r w:rsidRPr="00AB667B">
              <w:rPr>
                <w:kern w:val="24"/>
              </w:rPr>
              <w:t>. Zderzaki, klamki w kolorze nadwozia.). Materiały obiciowe siedzeń I-go, II-go i III-go rzędu oraz wszystkich elementów wykończenia wnętrza pojazdu znajdujących się poniżej linii szyb muszą być wykonane w kolorze ciemn</w:t>
            </w:r>
            <w:r w:rsidR="00BC3DE1">
              <w:rPr>
                <w:kern w:val="24"/>
              </w:rPr>
              <w:t>oszarym</w:t>
            </w:r>
            <w:r w:rsidRPr="00AB667B">
              <w:rPr>
                <w:kern w:val="24"/>
              </w:rPr>
              <w:t>,</w:t>
            </w:r>
            <w:r w:rsidR="00D56D99" w:rsidRPr="00AB667B">
              <w:rPr>
                <w:kern w:val="24"/>
              </w:rPr>
              <w:t xml:space="preserve"> </w:t>
            </w:r>
            <w:proofErr w:type="spellStart"/>
            <w:r w:rsidR="00D56D99" w:rsidRPr="00AB667B">
              <w:rPr>
                <w:kern w:val="24"/>
              </w:rPr>
              <w:t>łatwozmywalne</w:t>
            </w:r>
            <w:proofErr w:type="spellEnd"/>
            <w:r w:rsidR="00D56D99" w:rsidRPr="00AB667B">
              <w:rPr>
                <w:kern w:val="24"/>
              </w:rPr>
              <w:t>,</w:t>
            </w:r>
            <w:r w:rsidRPr="00AB667B">
              <w:rPr>
                <w:kern w:val="24"/>
              </w:rPr>
              <w:t xml:space="preserve"> łatwe w utrzymaniu w czystości.</w:t>
            </w:r>
          </w:p>
        </w:tc>
        <w:tc>
          <w:tcPr>
            <w:tcW w:w="2127" w:type="dxa"/>
            <w:vAlign w:val="center"/>
          </w:tcPr>
          <w:p w14:paraId="5C8ECC30" w14:textId="77777777" w:rsidR="00056295" w:rsidRPr="00AB667B" w:rsidRDefault="00056295">
            <w:pPr>
              <w:pStyle w:val="NormalnyWeb"/>
              <w:spacing w:before="0" w:beforeAutospacing="0" w:after="0" w:afterAutospacing="0"/>
              <w:jc w:val="both"/>
            </w:pPr>
            <w:r w:rsidRPr="00AB667B">
              <w:rPr>
                <w:i/>
                <w:iCs/>
                <w:sz w:val="16"/>
                <w:szCs w:val="16"/>
              </w:rPr>
              <w:t>Podać kolor nadwozia.</w:t>
            </w:r>
          </w:p>
        </w:tc>
      </w:tr>
      <w:tr w:rsidR="00AB667B" w:rsidRPr="00AB667B" w14:paraId="0A5D4688" w14:textId="77777777" w:rsidTr="008E4DBF">
        <w:tc>
          <w:tcPr>
            <w:tcW w:w="796" w:type="dxa"/>
          </w:tcPr>
          <w:p w14:paraId="3AC0DDAD" w14:textId="77777777" w:rsidR="00056295" w:rsidRPr="00AB667B" w:rsidRDefault="00056295" w:rsidP="008E4DBF">
            <w:pPr>
              <w:jc w:val="center"/>
            </w:pPr>
            <w:r w:rsidRPr="00AB667B">
              <w:t>7.</w:t>
            </w:r>
          </w:p>
        </w:tc>
        <w:tc>
          <w:tcPr>
            <w:tcW w:w="10539" w:type="dxa"/>
          </w:tcPr>
          <w:p w14:paraId="14051349" w14:textId="5AF9F4BC" w:rsidR="00056295" w:rsidRPr="00AB667B" w:rsidRDefault="00056295" w:rsidP="00500F3F">
            <w:pPr>
              <w:jc w:val="both"/>
              <w:rPr>
                <w:kern w:val="24"/>
              </w:rPr>
            </w:pPr>
            <w:r w:rsidRPr="00AB667B">
              <w:rPr>
                <w:kern w:val="24"/>
              </w:rPr>
              <w:t>Skrzynia biegów</w:t>
            </w:r>
            <w:r w:rsidR="00BC3DE1">
              <w:rPr>
                <w:kern w:val="24"/>
              </w:rPr>
              <w:t xml:space="preserve">: manualna </w:t>
            </w:r>
            <w:r w:rsidRPr="00AB667B">
              <w:rPr>
                <w:kern w:val="24"/>
              </w:rPr>
              <w:t xml:space="preserve">min. </w:t>
            </w:r>
            <w:r w:rsidR="00BC3DE1">
              <w:rPr>
                <w:kern w:val="24"/>
              </w:rPr>
              <w:t>6</w:t>
            </w:r>
            <w:r w:rsidRPr="00AB667B">
              <w:rPr>
                <w:kern w:val="24"/>
              </w:rPr>
              <w:t xml:space="preserve"> stopniowa.</w:t>
            </w:r>
          </w:p>
          <w:p w14:paraId="21C19E67" w14:textId="77777777" w:rsidR="00C92565" w:rsidRPr="00AB667B" w:rsidRDefault="00C92565" w:rsidP="00C92565">
            <w:pPr>
              <w:jc w:val="both"/>
              <w:rPr>
                <w:kern w:val="24"/>
              </w:rPr>
            </w:pPr>
          </w:p>
          <w:p w14:paraId="1BE6A8D1" w14:textId="77777777" w:rsidR="00C92565" w:rsidRPr="00AB667B" w:rsidRDefault="00C92565" w:rsidP="00C92565">
            <w:pPr>
              <w:jc w:val="both"/>
              <w:rPr>
                <w:kern w:val="24"/>
              </w:rPr>
            </w:pPr>
          </w:p>
        </w:tc>
        <w:tc>
          <w:tcPr>
            <w:tcW w:w="2127" w:type="dxa"/>
          </w:tcPr>
          <w:p w14:paraId="7AE713C4" w14:textId="77777777" w:rsidR="00056295" w:rsidRPr="00AB667B" w:rsidRDefault="00056295" w:rsidP="00056295">
            <w:pPr>
              <w:pStyle w:val="docdata"/>
              <w:spacing w:before="0" w:beforeAutospacing="0" w:after="0" w:afterAutospacing="0"/>
            </w:pPr>
            <w:r w:rsidRPr="00AB667B">
              <w:rPr>
                <w:i/>
                <w:iCs/>
                <w:sz w:val="16"/>
                <w:szCs w:val="16"/>
              </w:rPr>
              <w:t>Podać typ skrzyni biegów (oznaczenie fabryczne) oraz liczbę biegów.</w:t>
            </w:r>
          </w:p>
          <w:p w14:paraId="0DEE4F1A" w14:textId="77777777" w:rsidR="00056295" w:rsidRPr="00AB667B" w:rsidRDefault="00056295" w:rsidP="008E4DBF">
            <w:pPr>
              <w:jc w:val="both"/>
              <w:rPr>
                <w:kern w:val="24"/>
              </w:rPr>
            </w:pPr>
          </w:p>
        </w:tc>
      </w:tr>
      <w:tr w:rsidR="00AB667B" w:rsidRPr="00AB667B" w14:paraId="564EABCD" w14:textId="77777777" w:rsidTr="008E4DBF">
        <w:tc>
          <w:tcPr>
            <w:tcW w:w="796" w:type="dxa"/>
          </w:tcPr>
          <w:p w14:paraId="376777B8" w14:textId="77777777" w:rsidR="00056295" w:rsidRPr="00AB667B" w:rsidRDefault="00056295" w:rsidP="008E4DBF">
            <w:pPr>
              <w:jc w:val="center"/>
            </w:pPr>
            <w:r w:rsidRPr="00AB667B">
              <w:t>8.</w:t>
            </w:r>
          </w:p>
        </w:tc>
        <w:tc>
          <w:tcPr>
            <w:tcW w:w="10539" w:type="dxa"/>
          </w:tcPr>
          <w:p w14:paraId="17689D0C" w14:textId="77777777" w:rsidR="00056295" w:rsidRPr="00AB667B" w:rsidRDefault="00056295" w:rsidP="00056295">
            <w:pPr>
              <w:jc w:val="both"/>
              <w:rPr>
                <w:kern w:val="24"/>
              </w:rPr>
            </w:pPr>
            <w:r w:rsidRPr="00AB667B">
              <w:rPr>
                <w:kern w:val="24"/>
              </w:rPr>
              <w:t>Napęd 4x2 (Zamawiający dopuszcza zaoferowanie wersji z napędem 4x4).</w:t>
            </w:r>
          </w:p>
        </w:tc>
        <w:tc>
          <w:tcPr>
            <w:tcW w:w="2127" w:type="dxa"/>
          </w:tcPr>
          <w:p w14:paraId="235D889D" w14:textId="77777777" w:rsidR="00056295" w:rsidRPr="00AB667B" w:rsidRDefault="00056295" w:rsidP="00056295">
            <w:pPr>
              <w:pStyle w:val="docdata"/>
              <w:spacing w:before="0" w:beforeAutospacing="0" w:after="0" w:afterAutospacing="0"/>
              <w:jc w:val="both"/>
            </w:pPr>
            <w:r w:rsidRPr="00AB667B">
              <w:rPr>
                <w:i/>
                <w:iCs/>
                <w:sz w:val="16"/>
                <w:szCs w:val="16"/>
              </w:rPr>
              <w:t>Podać rodzaj napędu.</w:t>
            </w:r>
          </w:p>
        </w:tc>
      </w:tr>
      <w:tr w:rsidR="00AB667B" w:rsidRPr="00AB667B" w14:paraId="49B20267" w14:textId="77777777" w:rsidTr="008E4DBF">
        <w:tc>
          <w:tcPr>
            <w:tcW w:w="796" w:type="dxa"/>
          </w:tcPr>
          <w:p w14:paraId="2321BD3A" w14:textId="77777777" w:rsidR="00056295" w:rsidRPr="00AB667B" w:rsidRDefault="00056295" w:rsidP="008E4DBF">
            <w:pPr>
              <w:jc w:val="center"/>
            </w:pPr>
            <w:r w:rsidRPr="00AB667B">
              <w:t>9.</w:t>
            </w:r>
          </w:p>
        </w:tc>
        <w:tc>
          <w:tcPr>
            <w:tcW w:w="10539" w:type="dxa"/>
          </w:tcPr>
          <w:p w14:paraId="6065272B" w14:textId="5420B328" w:rsidR="00056295" w:rsidRPr="00AB667B" w:rsidRDefault="00056295" w:rsidP="005B2E2B">
            <w:pPr>
              <w:jc w:val="both"/>
              <w:rPr>
                <w:kern w:val="24"/>
              </w:rPr>
            </w:pPr>
            <w:r w:rsidRPr="00AB667B">
              <w:rPr>
                <w:kern w:val="24"/>
              </w:rPr>
              <w:t>Pojazd o dopuszczalnej masie całkowitej nie przekraczającej 3</w:t>
            </w:r>
            <w:r w:rsidR="00BC3DE1">
              <w:rPr>
                <w:kern w:val="24"/>
              </w:rPr>
              <w:t>0</w:t>
            </w:r>
            <w:r w:rsidRPr="00AB667B">
              <w:rPr>
                <w:kern w:val="24"/>
              </w:rPr>
              <w:t>00 kg.</w:t>
            </w:r>
          </w:p>
        </w:tc>
        <w:tc>
          <w:tcPr>
            <w:tcW w:w="2127" w:type="dxa"/>
          </w:tcPr>
          <w:p w14:paraId="239C994E" w14:textId="77777777" w:rsidR="00056295" w:rsidRPr="00AB667B" w:rsidRDefault="00BA0166" w:rsidP="008E4DBF">
            <w:pPr>
              <w:jc w:val="both"/>
              <w:rPr>
                <w:kern w:val="24"/>
              </w:rPr>
            </w:pPr>
            <w:r w:rsidRPr="00AB667B">
              <w:rPr>
                <w:i/>
                <w:iCs/>
                <w:kern w:val="24"/>
                <w:sz w:val="16"/>
                <w:szCs w:val="16"/>
              </w:rPr>
              <w:t>Podać dopuszczalną masę całkowitą pojazdu.</w:t>
            </w:r>
          </w:p>
        </w:tc>
      </w:tr>
      <w:tr w:rsidR="00AB667B" w:rsidRPr="00AB667B" w14:paraId="6A598197" w14:textId="77777777" w:rsidTr="008E4DBF">
        <w:tc>
          <w:tcPr>
            <w:tcW w:w="796" w:type="dxa"/>
          </w:tcPr>
          <w:p w14:paraId="4D1304AE" w14:textId="77777777" w:rsidR="00056295" w:rsidRPr="00AB667B" w:rsidRDefault="00056295" w:rsidP="008E4DBF">
            <w:pPr>
              <w:jc w:val="center"/>
            </w:pPr>
            <w:r w:rsidRPr="00AB667B">
              <w:t>10.</w:t>
            </w:r>
          </w:p>
        </w:tc>
        <w:tc>
          <w:tcPr>
            <w:tcW w:w="10539" w:type="dxa"/>
          </w:tcPr>
          <w:p w14:paraId="6DA76A30" w14:textId="06A785EE" w:rsidR="004601EA" w:rsidRPr="00AB667B" w:rsidRDefault="004601EA" w:rsidP="004601EA">
            <w:pPr>
              <w:jc w:val="both"/>
              <w:rPr>
                <w:kern w:val="24"/>
              </w:rPr>
            </w:pPr>
            <w:r w:rsidRPr="00AB667B">
              <w:rPr>
                <w:kern w:val="24"/>
              </w:rPr>
              <w:t xml:space="preserve">Szyby </w:t>
            </w:r>
            <w:r w:rsidR="00BC3DE1">
              <w:rPr>
                <w:kern w:val="24"/>
              </w:rPr>
              <w:t xml:space="preserve">przednie </w:t>
            </w:r>
            <w:r w:rsidRPr="00AB667B">
              <w:rPr>
                <w:kern w:val="24"/>
              </w:rPr>
              <w:t xml:space="preserve">elektrycznie </w:t>
            </w:r>
            <w:r w:rsidR="00BC3DE1">
              <w:rPr>
                <w:kern w:val="24"/>
              </w:rPr>
              <w:t>regulowane</w:t>
            </w:r>
            <w:r w:rsidRPr="00AB667B">
              <w:rPr>
                <w:kern w:val="24"/>
              </w:rPr>
              <w:t xml:space="preserve">. </w:t>
            </w:r>
          </w:p>
          <w:p w14:paraId="4AA1B19E" w14:textId="44B8E5E5" w:rsidR="00056295" w:rsidRPr="00AB667B" w:rsidRDefault="004601EA" w:rsidP="004601EA">
            <w:pPr>
              <w:jc w:val="both"/>
              <w:rPr>
                <w:kern w:val="24"/>
              </w:rPr>
            </w:pPr>
            <w:r w:rsidRPr="00AB667B">
              <w:rPr>
                <w:kern w:val="24"/>
              </w:rPr>
              <w:t>Szyby przyciemniane w części tylnej nadwozia</w:t>
            </w:r>
            <w:r w:rsidR="00BC3DE1">
              <w:rPr>
                <w:kern w:val="24"/>
              </w:rPr>
              <w:t>.</w:t>
            </w:r>
          </w:p>
        </w:tc>
        <w:tc>
          <w:tcPr>
            <w:tcW w:w="2127" w:type="dxa"/>
          </w:tcPr>
          <w:p w14:paraId="3827CFBE" w14:textId="02E23A5D" w:rsidR="00056295" w:rsidRPr="00AB667B" w:rsidRDefault="00056295" w:rsidP="008E4DBF">
            <w:pPr>
              <w:jc w:val="both"/>
              <w:rPr>
                <w:kern w:val="24"/>
              </w:rPr>
            </w:pPr>
          </w:p>
        </w:tc>
      </w:tr>
      <w:tr w:rsidR="00AB667B" w:rsidRPr="00AB667B" w14:paraId="0AFC48F0" w14:textId="77777777" w:rsidTr="008E4DBF">
        <w:tc>
          <w:tcPr>
            <w:tcW w:w="796" w:type="dxa"/>
          </w:tcPr>
          <w:p w14:paraId="06CD6855" w14:textId="77777777" w:rsidR="00056295" w:rsidRPr="00AB667B" w:rsidRDefault="00056295" w:rsidP="008E4DBF">
            <w:pPr>
              <w:jc w:val="center"/>
            </w:pPr>
            <w:r w:rsidRPr="00AB667B">
              <w:t>11.</w:t>
            </w:r>
          </w:p>
        </w:tc>
        <w:tc>
          <w:tcPr>
            <w:tcW w:w="10539" w:type="dxa"/>
          </w:tcPr>
          <w:p w14:paraId="4FAAA55C" w14:textId="29889321" w:rsidR="00056295" w:rsidRPr="00AB667B" w:rsidRDefault="004601EA" w:rsidP="004601EA">
            <w:pPr>
              <w:jc w:val="both"/>
              <w:rPr>
                <w:kern w:val="24"/>
              </w:rPr>
            </w:pPr>
            <w:r w:rsidRPr="00AB667B">
              <w:rPr>
                <w:kern w:val="24"/>
              </w:rPr>
              <w:t xml:space="preserve">Samochód wyposażony w obręcze kół </w:t>
            </w:r>
            <w:r w:rsidR="00093E13">
              <w:rPr>
                <w:kern w:val="24"/>
              </w:rPr>
              <w:t>stalowych lub ze stopów lekkich</w:t>
            </w:r>
            <w:r w:rsidRPr="00AB667B">
              <w:rPr>
                <w:kern w:val="24"/>
              </w:rPr>
              <w:t xml:space="preserve"> min. 1</w:t>
            </w:r>
            <w:r w:rsidR="00BC3DE1">
              <w:rPr>
                <w:kern w:val="24"/>
              </w:rPr>
              <w:t>6</w:t>
            </w:r>
            <w:r w:rsidR="0079025E" w:rsidRPr="00AB667B">
              <w:rPr>
                <w:kern w:val="24"/>
              </w:rPr>
              <w:t>”</w:t>
            </w:r>
            <w:r w:rsidRPr="00AB667B">
              <w:rPr>
                <w:kern w:val="24"/>
              </w:rPr>
              <w:t xml:space="preserve"> z zamontowanymi oponami letnimi</w:t>
            </w:r>
            <w:r w:rsidR="000A195E" w:rsidRPr="00CA700D">
              <w:rPr>
                <w:kern w:val="24"/>
              </w:rPr>
              <w:t xml:space="preserve">, dodatkowo komplet opon zimowych z felgami </w:t>
            </w:r>
            <w:r w:rsidR="00093E13">
              <w:rPr>
                <w:kern w:val="24"/>
              </w:rPr>
              <w:t>stalowymi lub ze stopów lekkich</w:t>
            </w:r>
            <w:r w:rsidR="000A195E" w:rsidRPr="00CA700D">
              <w:rPr>
                <w:kern w:val="24"/>
              </w:rPr>
              <w:t xml:space="preserve"> min. 1</w:t>
            </w:r>
            <w:r w:rsidR="00BC3DE1" w:rsidRPr="00CA700D">
              <w:rPr>
                <w:kern w:val="24"/>
              </w:rPr>
              <w:t>6</w:t>
            </w:r>
            <w:r w:rsidR="000A195E" w:rsidRPr="00CA700D">
              <w:rPr>
                <w:kern w:val="24"/>
              </w:rPr>
              <w:t>”</w:t>
            </w:r>
            <w:r w:rsidRPr="00CA700D">
              <w:rPr>
                <w:kern w:val="24"/>
              </w:rPr>
              <w:t xml:space="preserve">. </w:t>
            </w:r>
            <w:r w:rsidRPr="00AB667B">
              <w:rPr>
                <w:kern w:val="24"/>
              </w:rPr>
              <w:t>Samochód wyposażony również w pełnowymiarowe koło zapasowe (bieżnik opony nie może być kierunkowy, koło umieszczone i zamontowane w</w:t>
            </w:r>
            <w:r w:rsidR="00EE0A0B" w:rsidRPr="00AB667B">
              <w:rPr>
                <w:kern w:val="24"/>
              </w:rPr>
              <w:t> </w:t>
            </w:r>
            <w:r w:rsidRPr="00AB667B">
              <w:rPr>
                <w:kern w:val="24"/>
              </w:rPr>
              <w:t>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39967E53" w14:textId="77777777" w:rsidR="00056295" w:rsidRPr="00CA700D" w:rsidRDefault="00CA700D" w:rsidP="008E4DBF">
            <w:pPr>
              <w:jc w:val="both"/>
              <w:rPr>
                <w:i/>
                <w:iCs/>
                <w:kern w:val="24"/>
                <w:sz w:val="18"/>
                <w:szCs w:val="18"/>
              </w:rPr>
            </w:pPr>
            <w:r w:rsidRPr="00CA700D">
              <w:rPr>
                <w:i/>
                <w:iCs/>
                <w:kern w:val="24"/>
                <w:sz w:val="18"/>
                <w:szCs w:val="18"/>
              </w:rPr>
              <w:t>Spełnia/nie spełnia</w:t>
            </w:r>
          </w:p>
          <w:p w14:paraId="60968F17" w14:textId="0D552BD3" w:rsidR="00CA700D" w:rsidRPr="00AB667B" w:rsidRDefault="00CA700D" w:rsidP="008E4DBF">
            <w:pPr>
              <w:jc w:val="both"/>
              <w:rPr>
                <w:kern w:val="24"/>
              </w:rPr>
            </w:pPr>
            <w:r w:rsidRPr="00CA700D">
              <w:rPr>
                <w:i/>
                <w:iCs/>
                <w:kern w:val="24"/>
                <w:sz w:val="18"/>
                <w:szCs w:val="18"/>
              </w:rPr>
              <w:t>Podać rozmiar kół</w:t>
            </w:r>
          </w:p>
        </w:tc>
      </w:tr>
      <w:tr w:rsidR="00AB667B" w:rsidRPr="00AB667B" w14:paraId="3260B60B" w14:textId="77777777" w:rsidTr="008E4DBF">
        <w:tc>
          <w:tcPr>
            <w:tcW w:w="796" w:type="dxa"/>
          </w:tcPr>
          <w:p w14:paraId="0B86E207" w14:textId="77777777" w:rsidR="00056295" w:rsidRPr="00AB667B" w:rsidRDefault="00056295" w:rsidP="008E4DBF">
            <w:pPr>
              <w:jc w:val="center"/>
            </w:pPr>
            <w:r w:rsidRPr="00AB667B">
              <w:t>12.</w:t>
            </w:r>
          </w:p>
        </w:tc>
        <w:tc>
          <w:tcPr>
            <w:tcW w:w="10539" w:type="dxa"/>
          </w:tcPr>
          <w:p w14:paraId="5099DAEB" w14:textId="77777777" w:rsidR="00056295" w:rsidRPr="00AB667B" w:rsidRDefault="00056295" w:rsidP="008E4DBF">
            <w:pPr>
              <w:jc w:val="both"/>
              <w:rPr>
                <w:kern w:val="24"/>
              </w:rPr>
            </w:pPr>
            <w:r w:rsidRPr="00AB667B">
              <w:rPr>
                <w:kern w:val="24"/>
              </w:rPr>
              <w:t>Samochód wyposażony co najmniej w:</w:t>
            </w:r>
          </w:p>
          <w:p w14:paraId="397041F0" w14:textId="05819EA3" w:rsidR="00056295" w:rsidRPr="00AB667B" w:rsidRDefault="006C7577" w:rsidP="00667607">
            <w:pPr>
              <w:numPr>
                <w:ilvl w:val="0"/>
                <w:numId w:val="1"/>
              </w:numPr>
              <w:ind w:left="650" w:hanging="284"/>
              <w:jc w:val="both"/>
              <w:rPr>
                <w:kern w:val="24"/>
              </w:rPr>
            </w:pPr>
            <w:r>
              <w:rPr>
                <w:kern w:val="24"/>
              </w:rPr>
              <w:t>4</w:t>
            </w:r>
            <w:r w:rsidR="00056295" w:rsidRPr="00AB667B">
              <w:rPr>
                <w:kern w:val="24"/>
              </w:rPr>
              <w:t xml:space="preserve"> podusz</w:t>
            </w:r>
            <w:r>
              <w:rPr>
                <w:kern w:val="24"/>
              </w:rPr>
              <w:t>ki</w:t>
            </w:r>
            <w:r w:rsidR="00056295" w:rsidRPr="00AB667B">
              <w:rPr>
                <w:kern w:val="24"/>
              </w:rPr>
              <w:t xml:space="preserve"> powietrzn</w:t>
            </w:r>
            <w:r>
              <w:rPr>
                <w:kern w:val="24"/>
              </w:rPr>
              <w:t>e</w:t>
            </w:r>
            <w:r w:rsidR="0009371A">
              <w:rPr>
                <w:kern w:val="24"/>
              </w:rPr>
              <w:t>,</w:t>
            </w:r>
          </w:p>
          <w:p w14:paraId="229E627D" w14:textId="732B1C6E" w:rsidR="00C9256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z czujnikiem zmierzchu</w:t>
            </w:r>
            <w:r>
              <w:rPr>
                <w:kern w:val="24"/>
              </w:rPr>
              <w:t>,</w:t>
            </w:r>
          </w:p>
          <w:p w14:paraId="31352822" w14:textId="7A0C611F" w:rsidR="00C92565" w:rsidRPr="00CA700D" w:rsidRDefault="0009371A" w:rsidP="00667607">
            <w:pPr>
              <w:numPr>
                <w:ilvl w:val="0"/>
                <w:numId w:val="1"/>
              </w:numPr>
              <w:ind w:left="650" w:hanging="284"/>
              <w:jc w:val="both"/>
              <w:rPr>
                <w:kern w:val="24"/>
              </w:rPr>
            </w:pPr>
            <w:r w:rsidRPr="00CA700D">
              <w:rPr>
                <w:kern w:val="24"/>
              </w:rPr>
              <w:t>s</w:t>
            </w:r>
            <w:r w:rsidR="00C92565" w:rsidRPr="00CA700D">
              <w:rPr>
                <w:kern w:val="24"/>
              </w:rPr>
              <w:t>ystem zapobiegający blokowaniu kół podczas hamowania (ABS)</w:t>
            </w:r>
            <w:r w:rsidRPr="00CA700D">
              <w:rPr>
                <w:kern w:val="24"/>
              </w:rPr>
              <w:t>,</w:t>
            </w:r>
          </w:p>
          <w:p w14:paraId="51179A83" w14:textId="47F6E071" w:rsidR="00056295" w:rsidRPr="00CA700D" w:rsidRDefault="0009371A" w:rsidP="00667607">
            <w:pPr>
              <w:numPr>
                <w:ilvl w:val="0"/>
                <w:numId w:val="1"/>
              </w:numPr>
              <w:ind w:left="650" w:hanging="284"/>
              <w:jc w:val="both"/>
              <w:rPr>
                <w:kern w:val="24"/>
              </w:rPr>
            </w:pPr>
            <w:r w:rsidRPr="00CA700D">
              <w:rPr>
                <w:kern w:val="24"/>
              </w:rPr>
              <w:t>s</w:t>
            </w:r>
            <w:r w:rsidR="00C92565" w:rsidRPr="00CA700D">
              <w:rPr>
                <w:kern w:val="24"/>
              </w:rPr>
              <w:t>ystem kontroli toru jazdy (ESP)</w:t>
            </w:r>
            <w:r w:rsidRPr="00CA700D">
              <w:rPr>
                <w:kern w:val="24"/>
              </w:rPr>
              <w:t>,</w:t>
            </w:r>
          </w:p>
          <w:p w14:paraId="118F6497" w14:textId="443A0C42" w:rsidR="00056295" w:rsidRPr="00AB667B" w:rsidRDefault="0009371A" w:rsidP="00667607">
            <w:pPr>
              <w:numPr>
                <w:ilvl w:val="0"/>
                <w:numId w:val="1"/>
              </w:numPr>
              <w:ind w:left="650" w:hanging="284"/>
              <w:jc w:val="both"/>
              <w:rPr>
                <w:kern w:val="24"/>
              </w:rPr>
            </w:pPr>
            <w:r>
              <w:rPr>
                <w:kern w:val="24"/>
              </w:rPr>
              <w:t>o</w:t>
            </w:r>
            <w:r w:rsidR="00056295" w:rsidRPr="00AB667B">
              <w:rPr>
                <w:kern w:val="24"/>
              </w:rPr>
              <w:t>granicznik prędkości z układem rozpoznawania znaków drogowych</w:t>
            </w:r>
            <w:r>
              <w:rPr>
                <w:kern w:val="24"/>
              </w:rPr>
              <w:t>,</w:t>
            </w:r>
          </w:p>
          <w:p w14:paraId="4512B5E5" w14:textId="4B92A8B3" w:rsidR="00056295" w:rsidRPr="00AB667B" w:rsidRDefault="0009371A" w:rsidP="00667607">
            <w:pPr>
              <w:numPr>
                <w:ilvl w:val="0"/>
                <w:numId w:val="1"/>
              </w:numPr>
              <w:ind w:left="650" w:hanging="284"/>
              <w:jc w:val="both"/>
              <w:rPr>
                <w:kern w:val="24"/>
              </w:rPr>
            </w:pPr>
            <w:r>
              <w:rPr>
                <w:kern w:val="24"/>
              </w:rPr>
              <w:t>s</w:t>
            </w:r>
            <w:r w:rsidR="00056295" w:rsidRPr="00AB667B">
              <w:rPr>
                <w:kern w:val="24"/>
              </w:rPr>
              <w:t xml:space="preserve">ystem </w:t>
            </w:r>
            <w:r w:rsidR="006302DD" w:rsidRPr="00AB667B">
              <w:rPr>
                <w:kern w:val="24"/>
              </w:rPr>
              <w:t xml:space="preserve">z przyciskiem </w:t>
            </w:r>
            <w:r w:rsidR="00056295" w:rsidRPr="00AB667B">
              <w:rPr>
                <w:kern w:val="24"/>
              </w:rPr>
              <w:t xml:space="preserve">Stop </w:t>
            </w:r>
            <w:r>
              <w:rPr>
                <w:kern w:val="24"/>
              </w:rPr>
              <w:t>–</w:t>
            </w:r>
            <w:r w:rsidR="00056295" w:rsidRPr="00AB667B">
              <w:rPr>
                <w:kern w:val="24"/>
              </w:rPr>
              <w:t xml:space="preserve"> Start</w:t>
            </w:r>
            <w:r>
              <w:rPr>
                <w:kern w:val="24"/>
              </w:rPr>
              <w:t>,</w:t>
            </w:r>
          </w:p>
          <w:p w14:paraId="79D8DF24" w14:textId="50675928"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automatycznego powiadamiania ratunkowego (</w:t>
            </w:r>
            <w:proofErr w:type="spellStart"/>
            <w:r w:rsidR="00056295" w:rsidRPr="00AB667B">
              <w:rPr>
                <w:kern w:val="24"/>
              </w:rPr>
              <w:t>eCall</w:t>
            </w:r>
            <w:proofErr w:type="spellEnd"/>
            <w:r w:rsidR="00056295" w:rsidRPr="00AB667B">
              <w:rPr>
                <w:kern w:val="24"/>
              </w:rPr>
              <w:t>)</w:t>
            </w:r>
            <w:r>
              <w:rPr>
                <w:kern w:val="24"/>
              </w:rPr>
              <w:t>,</w:t>
            </w:r>
          </w:p>
          <w:p w14:paraId="15355305" w14:textId="77777777" w:rsidR="0009371A" w:rsidRDefault="0009371A" w:rsidP="00667607">
            <w:pPr>
              <w:numPr>
                <w:ilvl w:val="0"/>
                <w:numId w:val="1"/>
              </w:numPr>
              <w:ind w:left="650" w:hanging="284"/>
              <w:jc w:val="both"/>
              <w:rPr>
                <w:kern w:val="24"/>
              </w:rPr>
            </w:pPr>
            <w:r w:rsidRPr="0009371A">
              <w:rPr>
                <w:kern w:val="24"/>
              </w:rPr>
              <w:t>s</w:t>
            </w:r>
            <w:r w:rsidR="00056295" w:rsidRPr="0009371A">
              <w:rPr>
                <w:kern w:val="24"/>
              </w:rPr>
              <w:t>ystem monitorowania ciśnienia w oponach</w:t>
            </w:r>
            <w:r>
              <w:rPr>
                <w:kern w:val="24"/>
              </w:rPr>
              <w:t>,</w:t>
            </w:r>
          </w:p>
          <w:p w14:paraId="6327F49F" w14:textId="639EB979" w:rsidR="00056295" w:rsidRPr="0009371A" w:rsidRDefault="0009371A" w:rsidP="00667607">
            <w:pPr>
              <w:numPr>
                <w:ilvl w:val="0"/>
                <w:numId w:val="1"/>
              </w:numPr>
              <w:ind w:left="650" w:hanging="284"/>
              <w:jc w:val="both"/>
              <w:rPr>
                <w:kern w:val="24"/>
              </w:rPr>
            </w:pPr>
            <w:r w:rsidRPr="0009371A">
              <w:rPr>
                <w:kern w:val="24"/>
              </w:rPr>
              <w:t>t</w:t>
            </w:r>
            <w:r w:rsidR="00056295" w:rsidRPr="0009371A">
              <w:rPr>
                <w:kern w:val="24"/>
              </w:rPr>
              <w:t>empomat</w:t>
            </w:r>
            <w:r>
              <w:rPr>
                <w:kern w:val="24"/>
              </w:rPr>
              <w:t>,</w:t>
            </w:r>
          </w:p>
          <w:p w14:paraId="0EE0598C" w14:textId="7D2D64E8"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ostrzegania o niezamierzonej zmianie pasa ruchu</w:t>
            </w:r>
            <w:r>
              <w:rPr>
                <w:kern w:val="24"/>
              </w:rPr>
              <w:t>,</w:t>
            </w:r>
          </w:p>
          <w:p w14:paraId="4FD804E8" w14:textId="77EF96E6"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wczesnego reagowania w razie ryzyka zderzenia z systemem wykrywania pieszych</w:t>
            </w:r>
            <w:r>
              <w:rPr>
                <w:kern w:val="24"/>
              </w:rPr>
              <w:t>,</w:t>
            </w:r>
          </w:p>
          <w:p w14:paraId="37D6591A" w14:textId="7E5D0040" w:rsidR="00056295" w:rsidRPr="00AB667B" w:rsidRDefault="0009371A" w:rsidP="00667607">
            <w:pPr>
              <w:numPr>
                <w:ilvl w:val="0"/>
                <w:numId w:val="1"/>
              </w:numPr>
              <w:ind w:left="650" w:hanging="284"/>
              <w:jc w:val="both"/>
              <w:rPr>
                <w:kern w:val="24"/>
              </w:rPr>
            </w:pPr>
            <w:r>
              <w:rPr>
                <w:kern w:val="24"/>
              </w:rPr>
              <w:t>p</w:t>
            </w:r>
            <w:r w:rsidR="00056295" w:rsidRPr="00AB667B">
              <w:rPr>
                <w:kern w:val="24"/>
              </w:rPr>
              <w:t>odłokietnik kierowcy</w:t>
            </w:r>
            <w:r>
              <w:rPr>
                <w:kern w:val="24"/>
              </w:rPr>
              <w:t>,</w:t>
            </w:r>
          </w:p>
          <w:p w14:paraId="3525108A" w14:textId="2DB0A43B"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podparcia odcinka lędźwiowego fotela kierowcy</w:t>
            </w:r>
            <w:r>
              <w:rPr>
                <w:kern w:val="24"/>
              </w:rPr>
              <w:t>,</w:t>
            </w:r>
          </w:p>
          <w:p w14:paraId="69F84CA8" w14:textId="4BC4A57A"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wysokości fotela kierowcy</w:t>
            </w:r>
            <w:r>
              <w:rPr>
                <w:kern w:val="24"/>
              </w:rPr>
              <w:t>,</w:t>
            </w:r>
          </w:p>
          <w:p w14:paraId="28F92CFF" w14:textId="5B067BC1" w:rsidR="00056295" w:rsidRPr="00AB667B" w:rsidRDefault="0009371A" w:rsidP="00667607">
            <w:pPr>
              <w:numPr>
                <w:ilvl w:val="0"/>
                <w:numId w:val="1"/>
              </w:numPr>
              <w:ind w:left="650" w:hanging="284"/>
              <w:jc w:val="both"/>
              <w:rPr>
                <w:kern w:val="24"/>
              </w:rPr>
            </w:pPr>
            <w:r>
              <w:rPr>
                <w:kern w:val="24"/>
              </w:rPr>
              <w:lastRenderedPageBreak/>
              <w:t>s</w:t>
            </w:r>
            <w:r w:rsidR="00056295" w:rsidRPr="00AB667B">
              <w:rPr>
                <w:kern w:val="24"/>
              </w:rPr>
              <w:t>kładane</w:t>
            </w:r>
            <w:r w:rsidR="00863693" w:rsidRPr="00AB667B">
              <w:rPr>
                <w:kern w:val="24"/>
              </w:rPr>
              <w:t xml:space="preserve"> </w:t>
            </w:r>
            <w:r w:rsidR="006C7577">
              <w:rPr>
                <w:kern w:val="24"/>
              </w:rPr>
              <w:t>siedzenia w drugim rzędzie</w:t>
            </w:r>
            <w:r>
              <w:rPr>
                <w:kern w:val="24"/>
              </w:rPr>
              <w:t>,</w:t>
            </w:r>
          </w:p>
          <w:p w14:paraId="52FACB0D" w14:textId="4B58DBA5"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tylnej szyby</w:t>
            </w:r>
            <w:r>
              <w:rPr>
                <w:kern w:val="24"/>
              </w:rPr>
              <w:t>,</w:t>
            </w:r>
          </w:p>
          <w:p w14:paraId="7A4C9440" w14:textId="30F3FCE7"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przedniej szyby</w:t>
            </w:r>
            <w:r>
              <w:rPr>
                <w:kern w:val="24"/>
              </w:rPr>
              <w:t>,</w:t>
            </w:r>
          </w:p>
          <w:p w14:paraId="66E055FB" w14:textId="1839A2FC"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odgrzewane fotele przednie</w:t>
            </w:r>
            <w:r>
              <w:rPr>
                <w:kern w:val="24"/>
              </w:rPr>
              <w:t>,</w:t>
            </w:r>
          </w:p>
          <w:p w14:paraId="474F6C67" w14:textId="6A545FEF"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odgrzewana kierownica</w:t>
            </w:r>
            <w:r>
              <w:rPr>
                <w:kern w:val="24"/>
              </w:rPr>
              <w:t>,</w:t>
            </w:r>
          </w:p>
          <w:p w14:paraId="5C6799D8" w14:textId="6E5DD69E" w:rsidR="00056295" w:rsidRPr="00AB667B" w:rsidRDefault="0009371A" w:rsidP="00667607">
            <w:pPr>
              <w:pStyle w:val="Akapitzlist"/>
              <w:numPr>
                <w:ilvl w:val="0"/>
                <w:numId w:val="1"/>
              </w:numPr>
              <w:ind w:left="650" w:hanging="284"/>
              <w:rPr>
                <w:kern w:val="24"/>
              </w:rPr>
            </w:pPr>
            <w:r>
              <w:rPr>
                <w:kern w:val="24"/>
              </w:rPr>
              <w:t>p</w:t>
            </w:r>
            <w:r w:rsidR="00056295" w:rsidRPr="00AB667B">
              <w:rPr>
                <w:kern w:val="24"/>
              </w:rPr>
              <w:t>odgrzewane lusterka zewnętrzne</w:t>
            </w:r>
            <w:r>
              <w:rPr>
                <w:kern w:val="24"/>
              </w:rPr>
              <w:t>,</w:t>
            </w:r>
          </w:p>
          <w:p w14:paraId="0D85DAE0" w14:textId="43C1476F" w:rsidR="00056295" w:rsidRPr="00AB667B" w:rsidRDefault="00056295" w:rsidP="00667607">
            <w:pPr>
              <w:pStyle w:val="Akapitzlist"/>
              <w:numPr>
                <w:ilvl w:val="0"/>
                <w:numId w:val="1"/>
              </w:numPr>
              <w:ind w:left="650" w:hanging="284"/>
              <w:rPr>
                <w:kern w:val="24"/>
              </w:rPr>
            </w:pPr>
            <w:r w:rsidRPr="00AB667B">
              <w:rPr>
                <w:kern w:val="24"/>
              </w:rPr>
              <w:t xml:space="preserve"> składane </w:t>
            </w:r>
            <w:r w:rsidR="006302DD" w:rsidRPr="00AB667B">
              <w:rPr>
                <w:kern w:val="24"/>
              </w:rPr>
              <w:t xml:space="preserve">i regulowane </w:t>
            </w:r>
            <w:r w:rsidRPr="00AB667B">
              <w:rPr>
                <w:kern w:val="24"/>
              </w:rPr>
              <w:t>lusterka zewnętrzne</w:t>
            </w:r>
            <w:r w:rsidR="0009371A">
              <w:rPr>
                <w:kern w:val="24"/>
              </w:rPr>
              <w:t>,</w:t>
            </w:r>
          </w:p>
          <w:p w14:paraId="632A69F6" w14:textId="7D6057B3" w:rsidR="00056295" w:rsidRPr="00AB667B" w:rsidRDefault="0009371A" w:rsidP="00667607">
            <w:pPr>
              <w:numPr>
                <w:ilvl w:val="0"/>
                <w:numId w:val="1"/>
              </w:numPr>
              <w:ind w:left="650" w:hanging="284"/>
              <w:jc w:val="both"/>
              <w:rPr>
                <w:kern w:val="24"/>
              </w:rPr>
            </w:pPr>
            <w:r>
              <w:rPr>
                <w:kern w:val="24"/>
              </w:rPr>
              <w:t>p</w:t>
            </w:r>
            <w:r w:rsidR="00056295" w:rsidRPr="00AB667B">
              <w:rPr>
                <w:kern w:val="24"/>
              </w:rPr>
              <w:t>rzednie oświetlenie nad fotelem kierowcy i pasażera</w:t>
            </w:r>
            <w:r>
              <w:rPr>
                <w:kern w:val="24"/>
              </w:rPr>
              <w:t>,</w:t>
            </w:r>
          </w:p>
          <w:p w14:paraId="6341AAD8" w14:textId="10A95DE1" w:rsidR="00056295" w:rsidRPr="00AB667B" w:rsidRDefault="00D35B57" w:rsidP="00667607">
            <w:pPr>
              <w:numPr>
                <w:ilvl w:val="0"/>
                <w:numId w:val="1"/>
              </w:numPr>
              <w:ind w:left="650" w:hanging="284"/>
              <w:jc w:val="both"/>
              <w:rPr>
                <w:kern w:val="24"/>
              </w:rPr>
            </w:pPr>
            <w:r>
              <w:rPr>
                <w:kern w:val="24"/>
              </w:rPr>
              <w:t xml:space="preserve">tylne </w:t>
            </w:r>
            <w:r w:rsidR="0009371A">
              <w:rPr>
                <w:kern w:val="24"/>
              </w:rPr>
              <w:t>c</w:t>
            </w:r>
            <w:r w:rsidR="006302DD" w:rsidRPr="00AB667B">
              <w:rPr>
                <w:kern w:val="24"/>
              </w:rPr>
              <w:t xml:space="preserve">zujniki parkowania, </w:t>
            </w:r>
          </w:p>
          <w:p w14:paraId="46B18ACF" w14:textId="582C1D9A" w:rsidR="0005629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drogowe</w:t>
            </w:r>
            <w:r>
              <w:rPr>
                <w:kern w:val="24"/>
              </w:rPr>
              <w:t>,</w:t>
            </w:r>
          </w:p>
          <w:p w14:paraId="2426F93F" w14:textId="3A35C60E" w:rsidR="00056295" w:rsidRPr="00AB667B" w:rsidRDefault="0009371A" w:rsidP="00667607">
            <w:pPr>
              <w:numPr>
                <w:ilvl w:val="0"/>
                <w:numId w:val="1"/>
              </w:numPr>
              <w:ind w:left="650" w:hanging="284"/>
              <w:jc w:val="both"/>
              <w:rPr>
                <w:kern w:val="24"/>
              </w:rPr>
            </w:pPr>
            <w:r>
              <w:rPr>
                <w:kern w:val="24"/>
              </w:rPr>
              <w:t>l</w:t>
            </w:r>
            <w:r w:rsidR="00056295" w:rsidRPr="00AB667B">
              <w:rPr>
                <w:kern w:val="24"/>
              </w:rPr>
              <w:t xml:space="preserve">ampy przednie </w:t>
            </w:r>
            <w:r w:rsidR="00D35B57">
              <w:rPr>
                <w:kern w:val="24"/>
              </w:rPr>
              <w:t>halogenowe (dopuszczalne są lampy, wykonane w technologii LED)</w:t>
            </w:r>
            <w:r>
              <w:rPr>
                <w:kern w:val="24"/>
              </w:rPr>
              <w:t>,</w:t>
            </w:r>
          </w:p>
          <w:p w14:paraId="626973B0" w14:textId="7D5642E2" w:rsidR="0057058B" w:rsidRPr="00AB667B" w:rsidRDefault="0009371A" w:rsidP="00667607">
            <w:pPr>
              <w:numPr>
                <w:ilvl w:val="0"/>
                <w:numId w:val="1"/>
              </w:numPr>
              <w:ind w:left="650" w:hanging="284"/>
              <w:jc w:val="both"/>
              <w:rPr>
                <w:kern w:val="24"/>
              </w:rPr>
            </w:pPr>
            <w:r>
              <w:rPr>
                <w:kern w:val="24"/>
              </w:rPr>
              <w:t>p</w:t>
            </w:r>
            <w:r w:rsidR="0057058B" w:rsidRPr="00AB667B">
              <w:rPr>
                <w:kern w:val="24"/>
              </w:rPr>
              <w:t>rzedni</w:t>
            </w:r>
            <w:r w:rsidR="00624E63">
              <w:rPr>
                <w:kern w:val="24"/>
              </w:rPr>
              <w:t>e</w:t>
            </w:r>
            <w:r w:rsidR="0057058B" w:rsidRPr="00AB667B">
              <w:rPr>
                <w:kern w:val="24"/>
              </w:rPr>
              <w:t xml:space="preserve"> światła przeciwmgielne</w:t>
            </w:r>
            <w:r>
              <w:rPr>
                <w:kern w:val="24"/>
              </w:rPr>
              <w:t>,</w:t>
            </w:r>
          </w:p>
          <w:p w14:paraId="4F7C1511" w14:textId="7434CF0A" w:rsidR="00056295" w:rsidRPr="00AB667B" w:rsidRDefault="00056295" w:rsidP="00667607">
            <w:pPr>
              <w:numPr>
                <w:ilvl w:val="0"/>
                <w:numId w:val="1"/>
              </w:numPr>
              <w:ind w:left="650" w:hanging="284"/>
              <w:jc w:val="both"/>
              <w:rPr>
                <w:kern w:val="24"/>
              </w:rPr>
            </w:pPr>
            <w:r w:rsidRPr="00AB667B">
              <w:rPr>
                <w:kern w:val="24"/>
              </w:rPr>
              <w:t>stacj</w:t>
            </w:r>
            <w:r w:rsidR="00624E63">
              <w:rPr>
                <w:kern w:val="24"/>
              </w:rPr>
              <w:t>ę</w:t>
            </w:r>
            <w:r w:rsidRPr="00AB667B">
              <w:rPr>
                <w:kern w:val="24"/>
              </w:rPr>
              <w:t xml:space="preserve"> radiow</w:t>
            </w:r>
            <w:r w:rsidR="00624E63">
              <w:rPr>
                <w:kern w:val="24"/>
              </w:rPr>
              <w:t>ą</w:t>
            </w:r>
            <w:r w:rsidRPr="00AB667B">
              <w:rPr>
                <w:kern w:val="24"/>
              </w:rPr>
              <w:t xml:space="preserve"> w technologii cyfrowej (DAB)</w:t>
            </w:r>
            <w:r w:rsidR="0009371A">
              <w:rPr>
                <w:kern w:val="24"/>
              </w:rPr>
              <w:t>,</w:t>
            </w:r>
          </w:p>
          <w:p w14:paraId="0413818C" w14:textId="770961F6" w:rsidR="0057058B" w:rsidRPr="00AB667B" w:rsidRDefault="00D35B57" w:rsidP="00667607">
            <w:pPr>
              <w:numPr>
                <w:ilvl w:val="0"/>
                <w:numId w:val="1"/>
              </w:numPr>
              <w:ind w:left="650" w:hanging="284"/>
              <w:jc w:val="both"/>
              <w:rPr>
                <w:kern w:val="24"/>
              </w:rPr>
            </w:pPr>
            <w:r>
              <w:rPr>
                <w:kern w:val="24"/>
              </w:rPr>
              <w:t>co najmniej dwa gniazda min 12V</w:t>
            </w:r>
            <w:r w:rsidR="0009371A">
              <w:rPr>
                <w:kern w:val="24"/>
              </w:rPr>
              <w:t>,</w:t>
            </w:r>
          </w:p>
          <w:p w14:paraId="2426CEF5" w14:textId="6715CBD0" w:rsidR="00056295" w:rsidRPr="00D35B57" w:rsidRDefault="0009371A" w:rsidP="00D35B57">
            <w:pPr>
              <w:numPr>
                <w:ilvl w:val="0"/>
                <w:numId w:val="1"/>
              </w:numPr>
              <w:ind w:left="650" w:hanging="284"/>
              <w:jc w:val="both"/>
              <w:rPr>
                <w:kern w:val="24"/>
              </w:rPr>
            </w:pPr>
            <w:r>
              <w:t>o</w:t>
            </w:r>
            <w:r w:rsidR="00056295" w:rsidRPr="00AB667B">
              <w:t xml:space="preserve">świetlenie nad fotelami w </w:t>
            </w:r>
            <w:r w:rsidR="00D35B57">
              <w:t xml:space="preserve">drugim i </w:t>
            </w:r>
            <w:r w:rsidR="00056295" w:rsidRPr="00AB667B">
              <w:t>trzecim rzędzie</w:t>
            </w:r>
            <w:r w:rsidR="00D35B57">
              <w:t>,</w:t>
            </w:r>
          </w:p>
          <w:p w14:paraId="7FDE5BFA" w14:textId="4A38E06D" w:rsidR="00056295" w:rsidRPr="00AB667B" w:rsidRDefault="0009371A" w:rsidP="00667607">
            <w:pPr>
              <w:numPr>
                <w:ilvl w:val="0"/>
                <w:numId w:val="1"/>
              </w:numPr>
              <w:ind w:left="650" w:hanging="284"/>
              <w:jc w:val="both"/>
              <w:rPr>
                <w:kern w:val="24"/>
              </w:rPr>
            </w:pPr>
            <w:r>
              <w:t>o</w:t>
            </w:r>
            <w:r w:rsidR="00056295" w:rsidRPr="00AB667B">
              <w:t xml:space="preserve">świetlenie wnętrza </w:t>
            </w:r>
            <w:r w:rsidR="00BA0166" w:rsidRPr="00AB667B">
              <w:t>kabiny kierowcy</w:t>
            </w:r>
            <w:r>
              <w:t>,</w:t>
            </w:r>
          </w:p>
          <w:p w14:paraId="6AA6CA65" w14:textId="0A4574C1" w:rsidR="00056295" w:rsidRPr="00AB667B" w:rsidRDefault="004701E5" w:rsidP="00667607">
            <w:pPr>
              <w:numPr>
                <w:ilvl w:val="0"/>
                <w:numId w:val="1"/>
              </w:numPr>
              <w:ind w:left="650" w:hanging="284"/>
              <w:jc w:val="both"/>
              <w:rPr>
                <w:kern w:val="24"/>
              </w:rPr>
            </w:pPr>
            <w:r>
              <w:rPr>
                <w:kern w:val="24"/>
              </w:rPr>
              <w:t xml:space="preserve">min. 2 </w:t>
            </w:r>
            <w:r w:rsidR="0009371A">
              <w:rPr>
                <w:kern w:val="24"/>
              </w:rPr>
              <w:t>s</w:t>
            </w:r>
            <w:r w:rsidR="00056295" w:rsidRPr="00AB667B">
              <w:rPr>
                <w:kern w:val="24"/>
              </w:rPr>
              <w:t>chow</w:t>
            </w:r>
            <w:r>
              <w:rPr>
                <w:kern w:val="24"/>
              </w:rPr>
              <w:t>ki</w:t>
            </w:r>
            <w:r w:rsidR="00056295" w:rsidRPr="00AB667B">
              <w:rPr>
                <w:kern w:val="24"/>
              </w:rPr>
              <w:t xml:space="preserve"> </w:t>
            </w:r>
            <w:r>
              <w:rPr>
                <w:kern w:val="24"/>
              </w:rPr>
              <w:t>w przedniej części kabiny, przy czym min. jeden chłodzony</w:t>
            </w:r>
            <w:r w:rsidR="0009371A">
              <w:rPr>
                <w:kern w:val="24"/>
              </w:rPr>
              <w:t>,</w:t>
            </w:r>
          </w:p>
          <w:p w14:paraId="3A329450" w14:textId="4D5AFD00" w:rsidR="00056295" w:rsidRPr="00AB667B" w:rsidRDefault="0009371A" w:rsidP="00667607">
            <w:pPr>
              <w:numPr>
                <w:ilvl w:val="0"/>
                <w:numId w:val="1"/>
              </w:numPr>
              <w:ind w:left="650" w:hanging="284"/>
              <w:jc w:val="both"/>
              <w:rPr>
                <w:kern w:val="24"/>
              </w:rPr>
            </w:pPr>
            <w:r>
              <w:t>k</w:t>
            </w:r>
            <w:r w:rsidR="00056295" w:rsidRPr="00AB667B">
              <w:t>ieszenie w przednich drzwiach</w:t>
            </w:r>
            <w:r>
              <w:t>,</w:t>
            </w:r>
          </w:p>
          <w:p w14:paraId="4170962E" w14:textId="501A1002" w:rsidR="00376A2B" w:rsidRPr="00AB667B" w:rsidRDefault="0009371A" w:rsidP="00667607">
            <w:pPr>
              <w:pStyle w:val="Akapitzlist"/>
              <w:numPr>
                <w:ilvl w:val="0"/>
                <w:numId w:val="1"/>
              </w:numPr>
              <w:ind w:left="650" w:hanging="284"/>
              <w:rPr>
                <w:kern w:val="24"/>
              </w:rPr>
            </w:pPr>
            <w:r>
              <w:rPr>
                <w:kern w:val="24"/>
              </w:rPr>
              <w:t>k</w:t>
            </w:r>
            <w:r w:rsidR="00376A2B" w:rsidRPr="00AB667B">
              <w:rPr>
                <w:kern w:val="24"/>
              </w:rPr>
              <w:t xml:space="preserve">limatyzacja </w:t>
            </w:r>
            <w:r w:rsidR="004701E5">
              <w:rPr>
                <w:kern w:val="24"/>
              </w:rPr>
              <w:t xml:space="preserve">manualna </w:t>
            </w:r>
            <w:r w:rsidR="00376A2B" w:rsidRPr="00AB667B">
              <w:rPr>
                <w:kern w:val="24"/>
              </w:rPr>
              <w:t xml:space="preserve">w przedniej części pojazdu </w:t>
            </w:r>
            <w:r w:rsidR="004701E5">
              <w:rPr>
                <w:kern w:val="24"/>
              </w:rPr>
              <w:t>i tylnej części pojazdu (dopuszczalna jest klimatyzacja automatyczna),</w:t>
            </w:r>
          </w:p>
          <w:p w14:paraId="338B88EB" w14:textId="3340E2F3" w:rsidR="00056295" w:rsidRPr="00AB667B" w:rsidRDefault="0009371A" w:rsidP="00667607">
            <w:pPr>
              <w:numPr>
                <w:ilvl w:val="0"/>
                <w:numId w:val="1"/>
              </w:numPr>
              <w:ind w:left="650" w:hanging="284"/>
              <w:jc w:val="both"/>
              <w:rPr>
                <w:kern w:val="24"/>
              </w:rPr>
            </w:pPr>
            <w:r>
              <w:t>n</w:t>
            </w:r>
            <w:r w:rsidR="00056295" w:rsidRPr="00AB667B">
              <w:t xml:space="preserve">awiewy </w:t>
            </w:r>
            <w:r w:rsidR="00CA4CFB" w:rsidRPr="00AB667B">
              <w:t xml:space="preserve">powietrza </w:t>
            </w:r>
            <w:r w:rsidR="00056295" w:rsidRPr="00AB667B">
              <w:t xml:space="preserve">dla pasażerów z </w:t>
            </w:r>
            <w:r w:rsidR="004701E5">
              <w:t>tyłu,</w:t>
            </w:r>
          </w:p>
          <w:p w14:paraId="4B9FA822" w14:textId="0A33AF61" w:rsidR="00624E63" w:rsidRPr="00624E63" w:rsidRDefault="00624E63" w:rsidP="00624E63">
            <w:pPr>
              <w:numPr>
                <w:ilvl w:val="0"/>
                <w:numId w:val="1"/>
              </w:numPr>
              <w:ind w:left="650" w:hanging="284"/>
              <w:jc w:val="both"/>
              <w:rPr>
                <w:kern w:val="24"/>
              </w:rPr>
            </w:pPr>
            <w:r>
              <w:rPr>
                <w:kern w:val="24"/>
              </w:rPr>
              <w:t>d</w:t>
            </w:r>
            <w:r w:rsidRPr="00AB667B">
              <w:rPr>
                <w:kern w:val="24"/>
              </w:rPr>
              <w:t>opuszcza się wykonanie zabudowy do przewozu osób z niepełnosprawnościami</w:t>
            </w:r>
            <w:r>
              <w:rPr>
                <w:kern w:val="24"/>
              </w:rPr>
              <w:t>.</w:t>
            </w:r>
          </w:p>
        </w:tc>
        <w:tc>
          <w:tcPr>
            <w:tcW w:w="2127" w:type="dxa"/>
          </w:tcPr>
          <w:p w14:paraId="5E6EAFC3" w14:textId="77777777" w:rsidR="00056295" w:rsidRPr="00CA700D" w:rsidRDefault="00CA700D" w:rsidP="008E4DBF">
            <w:pPr>
              <w:jc w:val="both"/>
              <w:rPr>
                <w:i/>
                <w:iCs/>
                <w:kern w:val="24"/>
                <w:sz w:val="18"/>
                <w:szCs w:val="18"/>
              </w:rPr>
            </w:pPr>
            <w:r w:rsidRPr="00CA700D">
              <w:rPr>
                <w:i/>
                <w:iCs/>
                <w:kern w:val="24"/>
                <w:sz w:val="18"/>
                <w:szCs w:val="18"/>
              </w:rPr>
              <w:lastRenderedPageBreak/>
              <w:t>Spełnia/nie spełnia</w:t>
            </w:r>
          </w:p>
          <w:p w14:paraId="4701FD56" w14:textId="2FF7FC9B" w:rsidR="00CA700D" w:rsidRPr="00AB667B" w:rsidRDefault="00CA700D" w:rsidP="008E4DBF">
            <w:pPr>
              <w:jc w:val="both"/>
              <w:rPr>
                <w:kern w:val="24"/>
              </w:rPr>
            </w:pPr>
            <w:r w:rsidRPr="00CA700D">
              <w:rPr>
                <w:i/>
                <w:iCs/>
                <w:kern w:val="24"/>
                <w:sz w:val="18"/>
                <w:szCs w:val="18"/>
              </w:rPr>
              <w:t xml:space="preserve">W tym pkt należy ująć ewentualne dodatkowe parametry, nieujęte </w:t>
            </w:r>
            <w:r>
              <w:rPr>
                <w:i/>
                <w:iCs/>
                <w:kern w:val="24"/>
                <w:sz w:val="18"/>
                <w:szCs w:val="18"/>
              </w:rPr>
              <w:br/>
            </w:r>
            <w:r w:rsidRPr="00CA700D">
              <w:rPr>
                <w:i/>
                <w:iCs/>
                <w:kern w:val="24"/>
                <w:sz w:val="18"/>
                <w:szCs w:val="18"/>
              </w:rPr>
              <w:t>w OPZ</w:t>
            </w:r>
          </w:p>
        </w:tc>
      </w:tr>
      <w:tr w:rsidR="00AB667B" w:rsidRPr="00AB667B" w14:paraId="6D018A70" w14:textId="77777777" w:rsidTr="008E4DBF">
        <w:tc>
          <w:tcPr>
            <w:tcW w:w="796" w:type="dxa"/>
          </w:tcPr>
          <w:p w14:paraId="433489C1" w14:textId="77777777" w:rsidR="00056295" w:rsidRPr="00AB667B" w:rsidRDefault="00056295" w:rsidP="008E4DBF">
            <w:pPr>
              <w:jc w:val="center"/>
            </w:pPr>
            <w:r w:rsidRPr="00AB667B">
              <w:t>13.</w:t>
            </w:r>
          </w:p>
        </w:tc>
        <w:tc>
          <w:tcPr>
            <w:tcW w:w="10539" w:type="dxa"/>
          </w:tcPr>
          <w:p w14:paraId="51958F13" w14:textId="3C1A0F79" w:rsidR="00056295" w:rsidRPr="00AB667B" w:rsidRDefault="00056295" w:rsidP="000D75D6">
            <w:pPr>
              <w:jc w:val="both"/>
              <w:rPr>
                <w:kern w:val="24"/>
              </w:rPr>
            </w:pPr>
            <w:r w:rsidRPr="00CA700D">
              <w:rPr>
                <w:kern w:val="24"/>
              </w:rPr>
              <w:t>Samochód wyposażony w komplet dywaników gumowych</w:t>
            </w:r>
            <w:r w:rsidR="00B84773" w:rsidRPr="00CA700D">
              <w:t xml:space="preserve"> </w:t>
            </w:r>
            <w:r w:rsidR="00B84773" w:rsidRPr="00CA700D">
              <w:rPr>
                <w:kern w:val="24"/>
              </w:rPr>
              <w:t>dla wszystkich rzędów siedzeń i wykładzinę gumową w części bagażowej.</w:t>
            </w:r>
          </w:p>
        </w:tc>
        <w:tc>
          <w:tcPr>
            <w:tcW w:w="2127" w:type="dxa"/>
          </w:tcPr>
          <w:p w14:paraId="719E9D32" w14:textId="59C4075E" w:rsidR="00056295" w:rsidRPr="00CA700D" w:rsidRDefault="00CA700D" w:rsidP="008E4DBF">
            <w:pPr>
              <w:jc w:val="both"/>
              <w:rPr>
                <w:i/>
                <w:iCs/>
                <w:kern w:val="24"/>
                <w:sz w:val="18"/>
                <w:szCs w:val="18"/>
              </w:rPr>
            </w:pPr>
            <w:r w:rsidRPr="00CA700D">
              <w:rPr>
                <w:i/>
                <w:iCs/>
                <w:kern w:val="24"/>
                <w:sz w:val="18"/>
                <w:szCs w:val="18"/>
              </w:rPr>
              <w:t>Tak/Nie</w:t>
            </w:r>
          </w:p>
        </w:tc>
      </w:tr>
      <w:tr w:rsidR="00AB667B" w:rsidRPr="00AB667B" w14:paraId="62420750" w14:textId="77777777" w:rsidTr="008E4DBF">
        <w:tc>
          <w:tcPr>
            <w:tcW w:w="796" w:type="dxa"/>
          </w:tcPr>
          <w:p w14:paraId="6F28CD84" w14:textId="77777777" w:rsidR="00056295" w:rsidRPr="00AB667B" w:rsidRDefault="00056295" w:rsidP="008E4DBF">
            <w:pPr>
              <w:jc w:val="center"/>
            </w:pPr>
            <w:r w:rsidRPr="00AB667B">
              <w:t>14.</w:t>
            </w:r>
          </w:p>
        </w:tc>
        <w:tc>
          <w:tcPr>
            <w:tcW w:w="10539" w:type="dxa"/>
          </w:tcPr>
          <w:p w14:paraId="0B613146" w14:textId="77777777" w:rsidR="00056295" w:rsidRPr="00AB667B" w:rsidRDefault="00056295" w:rsidP="008E4DBF">
            <w:pPr>
              <w:jc w:val="both"/>
            </w:pPr>
            <w:r w:rsidRPr="00AB667B">
              <w:t>Wymiary:</w:t>
            </w:r>
          </w:p>
          <w:p w14:paraId="2AAC08B2" w14:textId="77777777" w:rsidR="00056295" w:rsidRPr="00AB667B" w:rsidRDefault="00056295" w:rsidP="008E4DBF">
            <w:pPr>
              <w:jc w:val="both"/>
            </w:pPr>
            <w:r w:rsidRPr="00AB667B">
              <w:t>Długość całkowita min. 5300 mm,</w:t>
            </w:r>
          </w:p>
          <w:p w14:paraId="24D66C55" w14:textId="77777777" w:rsidR="00056295" w:rsidRPr="00AB667B" w:rsidRDefault="00056295" w:rsidP="008E4DBF">
            <w:pPr>
              <w:jc w:val="both"/>
            </w:pPr>
            <w:r w:rsidRPr="00AB667B">
              <w:t>Szerokość całkowita min. 1900 mm,</w:t>
            </w:r>
          </w:p>
          <w:p w14:paraId="5106C049" w14:textId="0E815A95" w:rsidR="00056295" w:rsidRPr="00AB667B" w:rsidRDefault="00056295" w:rsidP="008E4DBF">
            <w:pPr>
              <w:jc w:val="both"/>
            </w:pPr>
            <w:r w:rsidRPr="00AB667B">
              <w:t xml:space="preserve">Wysokość całkowita max. </w:t>
            </w:r>
            <w:r w:rsidR="00B84773" w:rsidRPr="00AB667B">
              <w:t>20</w:t>
            </w:r>
            <w:r w:rsidR="004701E5">
              <w:t>0</w:t>
            </w:r>
            <w:r w:rsidR="00B84773" w:rsidRPr="00AB667B">
              <w:t>0</w:t>
            </w:r>
            <w:r w:rsidRPr="00AB667B">
              <w:t xml:space="preserve"> mm (bez belki świetlnej</w:t>
            </w:r>
            <w:r w:rsidR="00D56D99" w:rsidRPr="00AB667B">
              <w:t>/sygnałów świetlnych</w:t>
            </w:r>
            <w:r w:rsidRPr="00AB667B">
              <w:t>),</w:t>
            </w:r>
          </w:p>
          <w:p w14:paraId="0B0B8E55" w14:textId="77777777" w:rsidR="00056295" w:rsidRPr="00AB667B" w:rsidRDefault="00056295" w:rsidP="008E4DBF">
            <w:pPr>
              <w:jc w:val="both"/>
            </w:pPr>
            <w:r w:rsidRPr="00AB667B">
              <w:t>Rozstaw osi min. 3250 mm,</w:t>
            </w:r>
          </w:p>
        </w:tc>
        <w:tc>
          <w:tcPr>
            <w:tcW w:w="2127" w:type="dxa"/>
          </w:tcPr>
          <w:p w14:paraId="5560163D" w14:textId="0ACECEF7" w:rsidR="00056295" w:rsidRPr="00CA700D" w:rsidRDefault="00CA700D" w:rsidP="008E4DBF">
            <w:pPr>
              <w:jc w:val="both"/>
              <w:rPr>
                <w:i/>
                <w:iCs/>
                <w:kern w:val="24"/>
              </w:rPr>
            </w:pPr>
            <w:r w:rsidRPr="00CA700D">
              <w:rPr>
                <w:i/>
                <w:iCs/>
                <w:kern w:val="24"/>
              </w:rPr>
              <w:t>Należy podać wymiary</w:t>
            </w:r>
          </w:p>
        </w:tc>
      </w:tr>
      <w:tr w:rsidR="00AB667B" w:rsidRPr="00AB667B" w14:paraId="2124F609" w14:textId="77777777" w:rsidTr="008E4DBF">
        <w:tc>
          <w:tcPr>
            <w:tcW w:w="796" w:type="dxa"/>
          </w:tcPr>
          <w:p w14:paraId="6DD27691" w14:textId="791E5475" w:rsidR="00056295" w:rsidRPr="00AB667B" w:rsidRDefault="00056295" w:rsidP="008E4DBF">
            <w:pPr>
              <w:jc w:val="center"/>
            </w:pPr>
            <w:r w:rsidRPr="00AB667B">
              <w:t>1</w:t>
            </w:r>
            <w:r w:rsidR="004701E5">
              <w:t>6</w:t>
            </w:r>
            <w:r w:rsidRPr="00AB667B">
              <w:t>.</w:t>
            </w:r>
          </w:p>
        </w:tc>
        <w:tc>
          <w:tcPr>
            <w:tcW w:w="10539" w:type="dxa"/>
            <w:vAlign w:val="center"/>
          </w:tcPr>
          <w:p w14:paraId="7CD8E673" w14:textId="77777777" w:rsidR="00950BEF" w:rsidRPr="00CA700D" w:rsidRDefault="00950BEF" w:rsidP="00950BEF">
            <w:pPr>
              <w:jc w:val="both"/>
              <w:rPr>
                <w:kern w:val="24"/>
              </w:rPr>
            </w:pPr>
            <w:r w:rsidRPr="00CA700D">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280DD6CB" w14:textId="77777777" w:rsidR="00950BEF" w:rsidRPr="00CA700D" w:rsidRDefault="00950BEF" w:rsidP="00950BEF">
            <w:pPr>
              <w:ind w:left="366" w:hanging="284"/>
              <w:jc w:val="both"/>
              <w:rPr>
                <w:kern w:val="24"/>
              </w:rPr>
            </w:pPr>
            <w:r w:rsidRPr="00CA700D">
              <w:rPr>
                <w:kern w:val="24"/>
              </w:rPr>
              <w:t>1) Urządzenie akustyczne pojazdu uprzywilejowanego umożliwiającego uruchomienie sygnalizacji dźwiękowej oraz umożliwiające podawanie komunikatów słownych, składające się co najmniej z następujących elementów:</w:t>
            </w:r>
          </w:p>
          <w:p w14:paraId="35F5FDE4" w14:textId="77777777" w:rsidR="00950BEF" w:rsidRPr="00CA700D" w:rsidRDefault="00950BEF" w:rsidP="00950BEF">
            <w:pPr>
              <w:ind w:left="650" w:hanging="284"/>
              <w:jc w:val="both"/>
              <w:rPr>
                <w:kern w:val="24"/>
              </w:rPr>
            </w:pPr>
            <w:r w:rsidRPr="00CA700D">
              <w:rPr>
                <w:kern w:val="24"/>
              </w:rPr>
              <w:t>a) wzmacniacza sygnałowego (modulatora) o mocy wyjściowej min. 200W z min. 3 modulowanymi sygnałami dwutonowymi. Modulator („pilot”) zamontowany w sposób nieutrudniający widoczności kierowcy,</w:t>
            </w:r>
          </w:p>
          <w:p w14:paraId="3919ECFE" w14:textId="77777777" w:rsidR="00950BEF" w:rsidRPr="00CA700D" w:rsidRDefault="00950BEF" w:rsidP="00950BEF">
            <w:pPr>
              <w:ind w:left="650" w:hanging="284"/>
              <w:jc w:val="both"/>
              <w:rPr>
                <w:kern w:val="24"/>
              </w:rPr>
            </w:pPr>
            <w:r w:rsidRPr="00CA700D">
              <w:rPr>
                <w:kern w:val="24"/>
              </w:rPr>
              <w:t xml:space="preserve">b) jednego lub dwóch neodymowych głośników kompaktowych o mocy min. 100W każdy zapewniających ekwiwalentny poziom ciśnienia akustycznego w granicach 115÷118 </w:t>
            </w:r>
            <w:proofErr w:type="spellStart"/>
            <w:r w:rsidRPr="00CA700D">
              <w:rPr>
                <w:kern w:val="24"/>
              </w:rPr>
              <w:t>dB</w:t>
            </w:r>
            <w:proofErr w:type="spellEnd"/>
            <w:r w:rsidRPr="00CA700D">
              <w:rPr>
                <w:kern w:val="24"/>
              </w:rPr>
              <w:t xml:space="preserve"> (A), dla każdego rodzaju sygnału dźwiękowego, mierzonego z </w:t>
            </w:r>
            <w:r w:rsidRPr="00CA700D">
              <w:rPr>
                <w:kern w:val="24"/>
              </w:rPr>
              <w:lastRenderedPageBreak/>
              <w:t>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32A5ABF5" w14:textId="77777777" w:rsidR="00950BEF" w:rsidRPr="00CA700D" w:rsidRDefault="00950BEF" w:rsidP="00950BEF">
            <w:pPr>
              <w:ind w:left="366" w:hanging="284"/>
              <w:jc w:val="both"/>
              <w:rPr>
                <w:kern w:val="24"/>
              </w:rPr>
            </w:pPr>
            <w:r w:rsidRPr="00CA700D">
              <w:rPr>
                <w:kern w:val="24"/>
              </w:rPr>
              <w:t>2) Jeden sygnał świetlny LED o barwie światła w kolorze niebieskim, mający możliwość stabilnego, magnetycznego zamocowania na dachu, z ochroną przed uszkodzeniem lakieru. Należy zapewnić jego zasilanie z gniazda samochodowego 12V. Układ sterowania (podłączenie) sygnałami musi zapewnić możliwość włączenia samej sygnalizacji świetlnej (bez sygnalizacji dźwiękowej). Oświetlenie zgodnie z wytycznymi określonymi w Regulaminie R 65 EKG – klasa 2.</w:t>
            </w:r>
          </w:p>
          <w:p w14:paraId="18C2AE1F" w14:textId="77777777" w:rsidR="00950BEF" w:rsidRPr="00CA700D" w:rsidRDefault="00950BEF" w:rsidP="00950BEF">
            <w:pPr>
              <w:ind w:left="366" w:hanging="284"/>
              <w:jc w:val="both"/>
              <w:rPr>
                <w:kern w:val="24"/>
              </w:rPr>
            </w:pPr>
            <w:r w:rsidRPr="00CA700D">
              <w:rPr>
                <w:kern w:val="24"/>
              </w:rPr>
              <w:t>3) W przedniej części pojazdu, w atrapie chłodnicy lub zderzaku przednim muszą być zamontowane dwie lampy kierunkowe LED o barwie światła niebieskiej z diodami o wysokiej światłości (XB2). Każda lampa o mocy min. 4W. Nie dopuszcza się montażu za atrapą chłodnicy.</w:t>
            </w:r>
          </w:p>
          <w:p w14:paraId="7F9EA61D" w14:textId="77777777" w:rsidR="00950BEF" w:rsidRPr="00CA700D" w:rsidRDefault="00950BEF" w:rsidP="00950BEF">
            <w:pPr>
              <w:ind w:left="366" w:hanging="284"/>
              <w:jc w:val="both"/>
              <w:rPr>
                <w:kern w:val="24"/>
              </w:rPr>
            </w:pPr>
            <w:r w:rsidRPr="00CA700D">
              <w:rPr>
                <w:kern w:val="24"/>
              </w:rPr>
              <w:t>4) Pas wyróżniający barwy czerwieni sygnałowej wokół pojazdu wykonany z taśmy min. klasy C.</w:t>
            </w:r>
          </w:p>
          <w:p w14:paraId="045791FC" w14:textId="77777777" w:rsidR="00950BEF" w:rsidRPr="00CA700D" w:rsidRDefault="00950BEF" w:rsidP="00950BEF">
            <w:pPr>
              <w:ind w:left="366" w:hanging="284"/>
              <w:jc w:val="both"/>
              <w:rPr>
                <w:kern w:val="24"/>
              </w:rPr>
            </w:pPr>
            <w:r w:rsidRPr="00CA700D">
              <w:rPr>
                <w:kern w:val="24"/>
              </w:rPr>
              <w:t>5) Napis „STRAƵ” i numer operacyjny umieszczony po obu stronach pojazdu w kolorze czerwonym (odblaskowym)</w:t>
            </w:r>
          </w:p>
          <w:p w14:paraId="2E88364E" w14:textId="77777777" w:rsidR="00950BEF" w:rsidRPr="00CA700D" w:rsidRDefault="00950BEF" w:rsidP="00950BEF">
            <w:pPr>
              <w:ind w:left="366" w:hanging="284"/>
              <w:jc w:val="both"/>
              <w:rPr>
                <w:kern w:val="24"/>
              </w:rPr>
            </w:pPr>
            <w:r w:rsidRPr="00CA700D">
              <w:rPr>
                <w:kern w:val="24"/>
              </w:rPr>
              <w:t>6) Numery operacyjne na dachu pojazdu.</w:t>
            </w:r>
          </w:p>
          <w:p w14:paraId="3A982C4C" w14:textId="77777777" w:rsidR="00950BEF" w:rsidRPr="00CA700D" w:rsidRDefault="00950BEF" w:rsidP="00950BEF">
            <w:pPr>
              <w:jc w:val="both"/>
              <w:rPr>
                <w:kern w:val="24"/>
              </w:rPr>
            </w:pPr>
          </w:p>
          <w:p w14:paraId="7AE830E7" w14:textId="77777777" w:rsidR="00950BEF" w:rsidRPr="00CA700D" w:rsidRDefault="00950BEF" w:rsidP="00950BEF">
            <w:pPr>
              <w:jc w:val="both"/>
              <w:rPr>
                <w:kern w:val="24"/>
              </w:rPr>
            </w:pPr>
            <w:r w:rsidRPr="00CA700D">
              <w:rPr>
                <w:kern w:val="24"/>
              </w:rPr>
              <w:t xml:space="preserve">Działanie sygnalizacji świetlnej musi być możliwe również przy wyjętym kluczyku ze stacyjki pojazdu. </w:t>
            </w:r>
          </w:p>
          <w:p w14:paraId="38A91131" w14:textId="77777777" w:rsidR="00950BEF" w:rsidRPr="00CA700D" w:rsidRDefault="00950BEF" w:rsidP="00950BEF">
            <w:pPr>
              <w:jc w:val="both"/>
              <w:rPr>
                <w:kern w:val="24"/>
              </w:rPr>
            </w:pPr>
            <w:r w:rsidRPr="00CA700D">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490567A2" w14:textId="77777777" w:rsidR="00950BEF" w:rsidRPr="00CA700D" w:rsidRDefault="00950BEF" w:rsidP="00950BEF">
            <w:pPr>
              <w:jc w:val="both"/>
              <w:rPr>
                <w:kern w:val="24"/>
              </w:rPr>
            </w:pPr>
          </w:p>
          <w:p w14:paraId="53E4648E" w14:textId="6F657BBA" w:rsidR="00056295" w:rsidRPr="00CA700D" w:rsidRDefault="00950BEF" w:rsidP="00950BEF">
            <w:pPr>
              <w:jc w:val="both"/>
              <w:rPr>
                <w:kern w:val="24"/>
              </w:rPr>
            </w:pPr>
            <w:r w:rsidRPr="00CA700D">
              <w:rPr>
                <w:kern w:val="24"/>
              </w:rPr>
              <w:t>Wszystkie urządzenia świetlne sygnalizacji uprzywilejowania emitujące światło koloru niebieskiego muszą posiadać świadectwo homologacji na zgodność z Regulaminem 65 EKG ONZ dla klasy 2</w:t>
            </w:r>
            <w:r w:rsidRPr="00CA700D">
              <w:rPr>
                <w:i/>
                <w:kern w:val="24"/>
              </w:rPr>
              <w:t>.</w:t>
            </w:r>
            <w:r w:rsidRPr="00CA700D">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7BF27FFD" w14:textId="7EBDA599" w:rsidR="00056295" w:rsidRPr="00CA700D" w:rsidRDefault="00CA700D" w:rsidP="008E4DBF">
            <w:pPr>
              <w:jc w:val="both"/>
              <w:rPr>
                <w:i/>
                <w:iCs/>
                <w:kern w:val="24"/>
              </w:rPr>
            </w:pPr>
            <w:r w:rsidRPr="00CA700D">
              <w:rPr>
                <w:i/>
                <w:iCs/>
                <w:kern w:val="24"/>
              </w:rPr>
              <w:lastRenderedPageBreak/>
              <w:t>Spełnia/nie spełnia</w:t>
            </w:r>
          </w:p>
        </w:tc>
      </w:tr>
      <w:tr w:rsidR="00AB667B" w:rsidRPr="00AB667B" w14:paraId="0BC3E0EE" w14:textId="77777777" w:rsidTr="008E4DBF">
        <w:tc>
          <w:tcPr>
            <w:tcW w:w="796" w:type="dxa"/>
          </w:tcPr>
          <w:p w14:paraId="21FF8B1E" w14:textId="1DAF96F3" w:rsidR="00056295" w:rsidRPr="00AB667B" w:rsidRDefault="00056295" w:rsidP="008E4DBF">
            <w:pPr>
              <w:jc w:val="center"/>
            </w:pPr>
            <w:r w:rsidRPr="00AB667B">
              <w:t>1</w:t>
            </w:r>
            <w:r w:rsidR="00093E13">
              <w:t>7</w:t>
            </w:r>
            <w:r w:rsidRPr="00AB667B">
              <w:t>.</w:t>
            </w:r>
          </w:p>
        </w:tc>
        <w:tc>
          <w:tcPr>
            <w:tcW w:w="10539" w:type="dxa"/>
            <w:vAlign w:val="center"/>
          </w:tcPr>
          <w:p w14:paraId="6388BB30" w14:textId="4C86CCF3" w:rsidR="00056295" w:rsidRPr="004701E5" w:rsidRDefault="00B62449" w:rsidP="00B62449">
            <w:pPr>
              <w:jc w:val="both"/>
              <w:rPr>
                <w:color w:val="EE0000"/>
                <w:kern w:val="24"/>
              </w:rPr>
            </w:pPr>
            <w:r w:rsidRPr="00CA700D">
              <w:rPr>
                <w:kern w:val="24"/>
              </w:rPr>
              <w:t>Oznaczenie pojazdu zgodne z Zarządzeniem</w:t>
            </w:r>
            <w:r w:rsidR="002312A8" w:rsidRPr="00CA700D">
              <w:rPr>
                <w:kern w:val="24"/>
              </w:rPr>
              <w:t xml:space="preserve"> nr 6 Komendanta Głównego Państwowej Straży Pożarnej z dnia 8 maja 2025 r.  </w:t>
            </w:r>
            <w:r w:rsidR="00CA700D">
              <w:rPr>
                <w:kern w:val="24"/>
              </w:rPr>
              <w:br/>
            </w:r>
            <w:r w:rsidR="002312A8" w:rsidRPr="00CA700D">
              <w:rPr>
                <w:kern w:val="24"/>
              </w:rPr>
              <w:t>w sprawie gospodarki transportowej w jednostkach organizacyjnych Państwowej Straży Pożarnej (Dz. Urz. KG PSP poz. 9)</w:t>
            </w:r>
            <w:r w:rsidRPr="00CA700D">
              <w:rPr>
                <w:kern w:val="24"/>
              </w:rPr>
              <w:t>. Konkretny numer operacyjny zostanie podany przez Zamawiającego w trakcie realizacji zamówienia na wniosek Wykonawcy.</w:t>
            </w:r>
          </w:p>
        </w:tc>
        <w:tc>
          <w:tcPr>
            <w:tcW w:w="2127" w:type="dxa"/>
          </w:tcPr>
          <w:p w14:paraId="0F82109C" w14:textId="78C20ECC" w:rsidR="00056295" w:rsidRPr="00CA700D" w:rsidRDefault="00CA700D" w:rsidP="008E4DBF">
            <w:pPr>
              <w:jc w:val="both"/>
              <w:rPr>
                <w:i/>
                <w:iCs/>
                <w:kern w:val="24"/>
              </w:rPr>
            </w:pPr>
            <w:r w:rsidRPr="00CA700D">
              <w:rPr>
                <w:i/>
                <w:iCs/>
                <w:kern w:val="24"/>
              </w:rPr>
              <w:t>Spełnia/ nie spełnia</w:t>
            </w:r>
          </w:p>
        </w:tc>
      </w:tr>
      <w:tr w:rsidR="00AB667B" w:rsidRPr="00AB667B" w14:paraId="5A30B52C" w14:textId="77777777" w:rsidTr="008E4DBF">
        <w:tc>
          <w:tcPr>
            <w:tcW w:w="796" w:type="dxa"/>
          </w:tcPr>
          <w:p w14:paraId="548EB63E" w14:textId="20A24706" w:rsidR="00D523E0" w:rsidRPr="00AB667B" w:rsidRDefault="00EE3BF7" w:rsidP="008E4DBF">
            <w:pPr>
              <w:jc w:val="center"/>
            </w:pPr>
            <w:r>
              <w:t>1</w:t>
            </w:r>
            <w:r w:rsidR="00093E13">
              <w:t>8</w:t>
            </w:r>
            <w:r w:rsidR="00D523E0" w:rsidRPr="00AB667B">
              <w:t>.</w:t>
            </w:r>
          </w:p>
        </w:tc>
        <w:tc>
          <w:tcPr>
            <w:tcW w:w="10539" w:type="dxa"/>
            <w:vAlign w:val="center"/>
          </w:tcPr>
          <w:p w14:paraId="45AC5E2C" w14:textId="6126E4FF" w:rsidR="00D523E0" w:rsidRPr="00AB667B" w:rsidRDefault="00D523E0" w:rsidP="001B130F">
            <w:pPr>
              <w:jc w:val="both"/>
              <w:rPr>
                <w:kern w:val="24"/>
              </w:rPr>
            </w:pPr>
            <w:r w:rsidRPr="00AB667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00A5A132" w14:textId="77777777" w:rsidR="00D523E0" w:rsidRPr="00AB667B" w:rsidRDefault="00D523E0" w:rsidP="001B130F">
            <w:pPr>
              <w:jc w:val="both"/>
              <w:rPr>
                <w:kern w:val="24"/>
              </w:rPr>
            </w:pPr>
            <w:r w:rsidRPr="00AB667B">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AB667B">
              <w:rPr>
                <w:kern w:val="24"/>
              </w:rPr>
              <w:t>całopojazdowego</w:t>
            </w:r>
            <w:proofErr w:type="spellEnd"/>
            <w:r w:rsidRPr="00AB667B">
              <w:rPr>
                <w:kern w:val="24"/>
              </w:rPr>
              <w:t xml:space="preserve"> wydanego dla pojazdu reprezentatywnego przez jednostkę uprawnioną do badań homologacyjnych w ww. zakresie. Dokumenty potwierdzające </w:t>
            </w:r>
            <w:r w:rsidRPr="00AB667B">
              <w:rPr>
                <w:kern w:val="24"/>
              </w:rPr>
              <w:lastRenderedPageBreak/>
              <w:t>spełnienie wymogu muszą być przekazane Zamawiającemu przez Wykonawcę najpóźniej w dniu odbioru techniczno-jakościowego.</w:t>
            </w:r>
          </w:p>
        </w:tc>
        <w:tc>
          <w:tcPr>
            <w:tcW w:w="2127" w:type="dxa"/>
          </w:tcPr>
          <w:p w14:paraId="6D25B229" w14:textId="7F96A40C" w:rsidR="00D523E0" w:rsidRPr="00CA700D" w:rsidRDefault="00CA700D" w:rsidP="008E4DBF">
            <w:pPr>
              <w:jc w:val="both"/>
              <w:rPr>
                <w:i/>
                <w:iCs/>
                <w:kern w:val="24"/>
              </w:rPr>
            </w:pPr>
            <w:r w:rsidRPr="00CA700D">
              <w:rPr>
                <w:i/>
                <w:iCs/>
                <w:kern w:val="24"/>
              </w:rPr>
              <w:lastRenderedPageBreak/>
              <w:t>Spełnia/nie spełnia</w:t>
            </w:r>
          </w:p>
        </w:tc>
      </w:tr>
      <w:tr w:rsidR="00AB667B" w:rsidRPr="00AB667B" w14:paraId="36F1EADD" w14:textId="77777777" w:rsidTr="008E4DBF">
        <w:tc>
          <w:tcPr>
            <w:tcW w:w="796" w:type="dxa"/>
          </w:tcPr>
          <w:p w14:paraId="19A33C1E" w14:textId="38CF8EAF" w:rsidR="00D523E0" w:rsidRPr="00AB667B" w:rsidRDefault="00D523E0" w:rsidP="008E4DBF">
            <w:pPr>
              <w:jc w:val="center"/>
            </w:pPr>
            <w:r w:rsidRPr="00AB667B">
              <w:t>2</w:t>
            </w:r>
            <w:r w:rsidR="00EE3BF7">
              <w:t>0</w:t>
            </w:r>
            <w:r w:rsidRPr="00AB667B">
              <w:t>.</w:t>
            </w:r>
          </w:p>
        </w:tc>
        <w:tc>
          <w:tcPr>
            <w:tcW w:w="10539" w:type="dxa"/>
            <w:vAlign w:val="center"/>
          </w:tcPr>
          <w:p w14:paraId="26460A4A" w14:textId="77777777" w:rsidR="00D523E0" w:rsidRPr="00AB667B" w:rsidRDefault="00D523E0" w:rsidP="001B130F">
            <w:pPr>
              <w:jc w:val="both"/>
              <w:rPr>
                <w:kern w:val="24"/>
              </w:rPr>
            </w:pPr>
            <w:r w:rsidRPr="00AB667B">
              <w:rPr>
                <w:kern w:val="24"/>
              </w:rPr>
              <w:t>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680585FB" w14:textId="00199F61" w:rsidR="00D523E0" w:rsidRPr="00CA700D" w:rsidRDefault="00CA700D" w:rsidP="008E4DBF">
            <w:pPr>
              <w:jc w:val="both"/>
              <w:rPr>
                <w:i/>
                <w:iCs/>
                <w:kern w:val="24"/>
              </w:rPr>
            </w:pPr>
            <w:r w:rsidRPr="00CA700D">
              <w:rPr>
                <w:i/>
                <w:iCs/>
                <w:kern w:val="24"/>
              </w:rPr>
              <w:t>Spełnia/nie spełnia</w:t>
            </w:r>
          </w:p>
        </w:tc>
      </w:tr>
      <w:tr w:rsidR="00AB667B" w:rsidRPr="00AB667B" w14:paraId="7A771807" w14:textId="77777777" w:rsidTr="008E4DBF">
        <w:tc>
          <w:tcPr>
            <w:tcW w:w="796" w:type="dxa"/>
          </w:tcPr>
          <w:p w14:paraId="79CC03B6" w14:textId="0E43554E" w:rsidR="00D523E0" w:rsidRPr="00AB667B" w:rsidRDefault="00D523E0" w:rsidP="008E4DBF">
            <w:pPr>
              <w:jc w:val="center"/>
            </w:pPr>
            <w:r w:rsidRPr="00AB667B">
              <w:t>2</w:t>
            </w:r>
            <w:r w:rsidR="00EE3BF7">
              <w:t>1</w:t>
            </w:r>
            <w:r w:rsidRPr="00AB667B">
              <w:t>.</w:t>
            </w:r>
          </w:p>
        </w:tc>
        <w:tc>
          <w:tcPr>
            <w:tcW w:w="10539" w:type="dxa"/>
            <w:vAlign w:val="center"/>
          </w:tcPr>
          <w:p w14:paraId="22B75EBF" w14:textId="77777777" w:rsidR="00D523E0" w:rsidRPr="00CA700D" w:rsidRDefault="00D523E0" w:rsidP="00D523E0">
            <w:pPr>
              <w:jc w:val="both"/>
              <w:rPr>
                <w:kern w:val="24"/>
              </w:rPr>
            </w:pPr>
            <w:r w:rsidRPr="00CA700D">
              <w:rPr>
                <w:kern w:val="24"/>
              </w:rPr>
              <w:t>Z pojazdem Wykonawca dostarczy wyposażenie:</w:t>
            </w:r>
          </w:p>
          <w:p w14:paraId="6FBA8227" w14:textId="31CA3D43" w:rsidR="00D523E0" w:rsidRPr="00CA700D" w:rsidRDefault="0009371A" w:rsidP="00D523E0">
            <w:pPr>
              <w:numPr>
                <w:ilvl w:val="0"/>
                <w:numId w:val="3"/>
              </w:numPr>
              <w:ind w:left="284" w:hanging="238"/>
              <w:contextualSpacing/>
              <w:jc w:val="both"/>
              <w:rPr>
                <w:kern w:val="24"/>
              </w:rPr>
            </w:pPr>
            <w:r w:rsidRPr="00CA700D">
              <w:rPr>
                <w:kern w:val="24"/>
              </w:rPr>
              <w:t>g</w:t>
            </w:r>
            <w:r w:rsidR="00D523E0" w:rsidRPr="00CA700D">
              <w:rPr>
                <w:kern w:val="24"/>
              </w:rPr>
              <w:t>aśnicę proszkową o masie środka gaśniczego minimum 1 kg, posiadającą świadectwo dopuszczenia CNBOP-PIB,</w:t>
            </w:r>
          </w:p>
          <w:p w14:paraId="611FF7EB" w14:textId="2FC9CBDA" w:rsidR="00D523E0" w:rsidRPr="00CA700D" w:rsidRDefault="0009371A" w:rsidP="00D523E0">
            <w:pPr>
              <w:numPr>
                <w:ilvl w:val="0"/>
                <w:numId w:val="3"/>
              </w:numPr>
              <w:ind w:left="284" w:hanging="238"/>
              <w:contextualSpacing/>
              <w:jc w:val="both"/>
              <w:rPr>
                <w:kern w:val="24"/>
              </w:rPr>
            </w:pPr>
            <w:r w:rsidRPr="00CA700D">
              <w:rPr>
                <w:kern w:val="24"/>
              </w:rPr>
              <w:t>a</w:t>
            </w:r>
            <w:r w:rsidR="00D523E0" w:rsidRPr="00CA700D">
              <w:rPr>
                <w:kern w:val="24"/>
              </w:rPr>
              <w:t xml:space="preserve">pteczkę samochodową, wraz ze spisem wyposażenia, wyposażoną co najmniej w: </w:t>
            </w:r>
          </w:p>
          <w:p w14:paraId="2276E5FD" w14:textId="57B211C1" w:rsidR="00D523E0" w:rsidRPr="00CA700D" w:rsidRDefault="0009371A" w:rsidP="00D523E0">
            <w:pPr>
              <w:numPr>
                <w:ilvl w:val="0"/>
                <w:numId w:val="4"/>
              </w:numPr>
              <w:ind w:left="599" w:hanging="233"/>
              <w:contextualSpacing/>
              <w:jc w:val="both"/>
            </w:pPr>
            <w:r w:rsidRPr="00CA700D">
              <w:t>o</w:t>
            </w:r>
            <w:r w:rsidR="00D523E0" w:rsidRPr="00CA700D">
              <w:t xml:space="preserve">patrunek indywidualny wodoszczelny typu W duży - 2 szt., </w:t>
            </w:r>
          </w:p>
          <w:p w14:paraId="4661D8CD" w14:textId="2BEF93DD" w:rsidR="00D523E0" w:rsidRPr="00CA700D" w:rsidRDefault="0009371A" w:rsidP="00D523E0">
            <w:pPr>
              <w:numPr>
                <w:ilvl w:val="0"/>
                <w:numId w:val="4"/>
              </w:numPr>
              <w:ind w:left="599" w:hanging="233"/>
              <w:contextualSpacing/>
              <w:jc w:val="both"/>
            </w:pPr>
            <w:r w:rsidRPr="00CA700D">
              <w:t>r</w:t>
            </w:r>
            <w:r w:rsidR="00D523E0" w:rsidRPr="00CA700D">
              <w:t>ękawiczki nitrylowe – 10 par,</w:t>
            </w:r>
          </w:p>
          <w:p w14:paraId="32C70BA9" w14:textId="65B096D1" w:rsidR="00D523E0" w:rsidRPr="00CA700D" w:rsidRDefault="0009371A" w:rsidP="00D523E0">
            <w:pPr>
              <w:numPr>
                <w:ilvl w:val="0"/>
                <w:numId w:val="4"/>
              </w:numPr>
              <w:ind w:left="599" w:hanging="233"/>
              <w:contextualSpacing/>
              <w:jc w:val="both"/>
              <w:rPr>
                <w:kern w:val="24"/>
              </w:rPr>
            </w:pPr>
            <w:r w:rsidRPr="00CA700D">
              <w:t>m</w:t>
            </w:r>
            <w:r w:rsidR="00D523E0" w:rsidRPr="00CA700D">
              <w:t>aska do sztucznego oddychania POCKET MASK – 1 szt.,</w:t>
            </w:r>
          </w:p>
          <w:p w14:paraId="19172E69" w14:textId="0431D9F9" w:rsidR="00D523E0" w:rsidRPr="00CA700D" w:rsidRDefault="0009371A" w:rsidP="00D523E0">
            <w:pPr>
              <w:numPr>
                <w:ilvl w:val="0"/>
                <w:numId w:val="4"/>
              </w:numPr>
              <w:ind w:left="599" w:hanging="233"/>
              <w:contextualSpacing/>
              <w:jc w:val="both"/>
            </w:pPr>
            <w:r w:rsidRPr="00CA700D">
              <w:t>k</w:t>
            </w:r>
            <w:r w:rsidR="00D523E0" w:rsidRPr="00CA700D">
              <w:t>ompresy z gazy jałowe 9x9 cm – 5 opakowań po 15 szt. w każdym,</w:t>
            </w:r>
          </w:p>
          <w:p w14:paraId="295C27B8" w14:textId="50B832C8" w:rsidR="00D523E0" w:rsidRPr="00CA700D" w:rsidRDefault="0009371A" w:rsidP="00D523E0">
            <w:pPr>
              <w:numPr>
                <w:ilvl w:val="0"/>
                <w:numId w:val="4"/>
              </w:numPr>
              <w:ind w:left="599" w:hanging="233"/>
              <w:contextualSpacing/>
              <w:jc w:val="both"/>
            </w:pPr>
            <w:r w:rsidRPr="00CA700D">
              <w:t>g</w:t>
            </w:r>
            <w:r w:rsidR="00D523E0" w:rsidRPr="00CA700D">
              <w:t>aza opatrunkowa jałowa 0,5 m</w:t>
            </w:r>
            <w:r w:rsidR="00D523E0" w:rsidRPr="00CA700D">
              <w:rPr>
                <w:vertAlign w:val="superscript"/>
              </w:rPr>
              <w:t>2</w:t>
            </w:r>
            <w:r w:rsidR="00D523E0" w:rsidRPr="00CA700D">
              <w:t xml:space="preserve"> – 2 szt.,</w:t>
            </w:r>
          </w:p>
          <w:p w14:paraId="4F6C92D0" w14:textId="6DE262F2" w:rsidR="00D523E0" w:rsidRPr="00CA700D" w:rsidRDefault="0009371A" w:rsidP="00D523E0">
            <w:pPr>
              <w:numPr>
                <w:ilvl w:val="0"/>
                <w:numId w:val="4"/>
              </w:numPr>
              <w:ind w:left="599" w:hanging="233"/>
              <w:contextualSpacing/>
              <w:jc w:val="both"/>
            </w:pPr>
            <w:r w:rsidRPr="00CA700D">
              <w:t>g</w:t>
            </w:r>
            <w:r w:rsidR="00D523E0" w:rsidRPr="00CA700D">
              <w:t>aza opatrunkowa jałowa 1 m</w:t>
            </w:r>
            <w:r w:rsidR="00D523E0" w:rsidRPr="00CA700D">
              <w:rPr>
                <w:vertAlign w:val="superscript"/>
              </w:rPr>
              <w:t>2</w:t>
            </w:r>
            <w:r w:rsidR="00D523E0" w:rsidRPr="00CA700D">
              <w:t xml:space="preserve"> – 2 szt.,</w:t>
            </w:r>
          </w:p>
          <w:p w14:paraId="13490EA8" w14:textId="74618E79" w:rsidR="00D523E0" w:rsidRPr="00CA700D" w:rsidRDefault="0009371A" w:rsidP="00D523E0">
            <w:pPr>
              <w:numPr>
                <w:ilvl w:val="0"/>
                <w:numId w:val="4"/>
              </w:numPr>
              <w:ind w:left="599" w:hanging="233"/>
              <w:contextualSpacing/>
              <w:jc w:val="both"/>
              <w:rPr>
                <w:kern w:val="24"/>
              </w:rPr>
            </w:pPr>
            <w:r w:rsidRPr="00CA700D">
              <w:t>b</w:t>
            </w:r>
            <w:r w:rsidR="00D523E0" w:rsidRPr="00CA700D">
              <w:t>andaż uciskowy niejałowy z zapinką 10 cm x 5 m – 2 szt.,</w:t>
            </w:r>
          </w:p>
          <w:p w14:paraId="74C3F561" w14:textId="3D6DA968" w:rsidR="00D523E0" w:rsidRPr="00CA700D" w:rsidRDefault="0009371A" w:rsidP="00D523E0">
            <w:pPr>
              <w:numPr>
                <w:ilvl w:val="0"/>
                <w:numId w:val="4"/>
              </w:numPr>
              <w:ind w:left="599" w:hanging="233"/>
              <w:contextualSpacing/>
              <w:jc w:val="both"/>
            </w:pPr>
            <w:r w:rsidRPr="00CA700D">
              <w:t>b</w:t>
            </w:r>
            <w:r w:rsidR="00D523E0" w:rsidRPr="00CA700D">
              <w:t>andaż podtrzymujący niejałowy 10 cm x 4 m – 2 szt.,</w:t>
            </w:r>
          </w:p>
          <w:p w14:paraId="1CA98CD7" w14:textId="4897F5DB" w:rsidR="00D523E0" w:rsidRPr="00CA700D" w:rsidRDefault="0009371A" w:rsidP="00D523E0">
            <w:pPr>
              <w:numPr>
                <w:ilvl w:val="0"/>
                <w:numId w:val="4"/>
              </w:numPr>
              <w:ind w:left="599" w:hanging="233"/>
              <w:contextualSpacing/>
              <w:jc w:val="both"/>
            </w:pPr>
            <w:r w:rsidRPr="00CA700D">
              <w:t>p</w:t>
            </w:r>
            <w:r w:rsidR="00D523E0" w:rsidRPr="00CA700D">
              <w:t>laster tkaninowy z opatrunkiem do cięcia 8 cm x 1 m – 1 szt.,</w:t>
            </w:r>
          </w:p>
          <w:p w14:paraId="2F8CDEA9" w14:textId="3DF693CC" w:rsidR="00D523E0" w:rsidRPr="00CA700D" w:rsidRDefault="0009371A" w:rsidP="00D523E0">
            <w:pPr>
              <w:numPr>
                <w:ilvl w:val="0"/>
                <w:numId w:val="4"/>
              </w:numPr>
              <w:ind w:left="599" w:hanging="233"/>
              <w:contextualSpacing/>
              <w:jc w:val="both"/>
            </w:pPr>
            <w:r w:rsidRPr="00CA700D">
              <w:t>p</w:t>
            </w:r>
            <w:r w:rsidR="00D523E0" w:rsidRPr="00CA700D">
              <w:t>rzylepiec tkaninowy na szpulce 2,5 cm x 5 m – 1 szt.,</w:t>
            </w:r>
          </w:p>
          <w:p w14:paraId="4A46C8F8" w14:textId="00366BA7" w:rsidR="00D523E0" w:rsidRPr="00CA700D" w:rsidRDefault="0009371A" w:rsidP="00D523E0">
            <w:pPr>
              <w:numPr>
                <w:ilvl w:val="0"/>
                <w:numId w:val="4"/>
              </w:numPr>
              <w:ind w:left="599" w:hanging="233"/>
              <w:contextualSpacing/>
              <w:jc w:val="both"/>
            </w:pPr>
            <w:r w:rsidRPr="00CA700D">
              <w:t>e</w:t>
            </w:r>
            <w:r w:rsidR="00D523E0" w:rsidRPr="00CA700D">
              <w:t>lastyczna siatka opatrunkowa 6 cm x 1m – 1 szt.,</w:t>
            </w:r>
          </w:p>
          <w:p w14:paraId="1898A830" w14:textId="727699DA" w:rsidR="00D523E0" w:rsidRPr="00CA700D" w:rsidRDefault="0009371A" w:rsidP="00D523E0">
            <w:pPr>
              <w:numPr>
                <w:ilvl w:val="0"/>
                <w:numId w:val="4"/>
              </w:numPr>
              <w:ind w:left="599" w:hanging="233"/>
              <w:contextualSpacing/>
              <w:jc w:val="both"/>
            </w:pPr>
            <w:r w:rsidRPr="00CA700D">
              <w:t>o</w:t>
            </w:r>
            <w:r w:rsidR="00D523E0" w:rsidRPr="00CA700D">
              <w:t>patrunek hydrożelowy 10x10 cm – 2 szt.,</w:t>
            </w:r>
          </w:p>
          <w:p w14:paraId="337907F7" w14:textId="657FF506" w:rsidR="00D523E0" w:rsidRPr="00CA700D" w:rsidRDefault="0009371A" w:rsidP="00D523E0">
            <w:pPr>
              <w:numPr>
                <w:ilvl w:val="0"/>
                <w:numId w:val="4"/>
              </w:numPr>
              <w:ind w:left="599" w:hanging="233"/>
              <w:contextualSpacing/>
              <w:jc w:val="both"/>
            </w:pPr>
            <w:r w:rsidRPr="00CA700D">
              <w:t>o</w:t>
            </w:r>
            <w:r w:rsidR="00D523E0" w:rsidRPr="00CA700D">
              <w:t>patrunek hydrożelowy 20x20 cm – 2 szt.,</w:t>
            </w:r>
          </w:p>
          <w:p w14:paraId="45334FFE" w14:textId="7145DE97" w:rsidR="00D523E0" w:rsidRPr="00CA700D" w:rsidRDefault="0009371A" w:rsidP="00D523E0">
            <w:pPr>
              <w:numPr>
                <w:ilvl w:val="0"/>
                <w:numId w:val="4"/>
              </w:numPr>
              <w:ind w:left="599" w:hanging="233"/>
              <w:contextualSpacing/>
              <w:jc w:val="both"/>
            </w:pPr>
            <w:r w:rsidRPr="00CA700D">
              <w:t>p</w:t>
            </w:r>
            <w:r w:rsidR="00D523E0" w:rsidRPr="00CA700D">
              <w:t>łyn do dezynfekcji ran, błony śluzowej i skóry 250 ml – 1 szt.,</w:t>
            </w:r>
          </w:p>
          <w:p w14:paraId="5C90A521" w14:textId="25CE406B" w:rsidR="00D523E0" w:rsidRPr="00CA700D" w:rsidRDefault="0009371A" w:rsidP="00D523E0">
            <w:pPr>
              <w:numPr>
                <w:ilvl w:val="0"/>
                <w:numId w:val="4"/>
              </w:numPr>
              <w:ind w:left="599" w:hanging="233"/>
              <w:contextualSpacing/>
              <w:jc w:val="both"/>
            </w:pPr>
            <w:r w:rsidRPr="00CA700D">
              <w:t>k</w:t>
            </w:r>
            <w:r w:rsidR="00D523E0" w:rsidRPr="00CA700D">
              <w:t>oc ratunkowy/termiczny 210x160 cm – 2 szt.,</w:t>
            </w:r>
          </w:p>
          <w:p w14:paraId="341BC55F" w14:textId="1D6EF291" w:rsidR="00D523E0" w:rsidRPr="00CA700D" w:rsidRDefault="0009371A" w:rsidP="00D523E0">
            <w:pPr>
              <w:numPr>
                <w:ilvl w:val="0"/>
                <w:numId w:val="4"/>
              </w:numPr>
              <w:ind w:left="599" w:hanging="233"/>
              <w:contextualSpacing/>
              <w:jc w:val="both"/>
            </w:pPr>
            <w:r w:rsidRPr="00CA700D">
              <w:t>n</w:t>
            </w:r>
            <w:r w:rsidR="00D523E0" w:rsidRPr="00CA700D">
              <w:t>ożyczki ratownicze – 1 szt.</w:t>
            </w:r>
          </w:p>
          <w:p w14:paraId="286F93F2" w14:textId="7EFC19EB" w:rsidR="00D523E0" w:rsidRPr="00CA700D" w:rsidRDefault="0009371A" w:rsidP="00D523E0">
            <w:pPr>
              <w:numPr>
                <w:ilvl w:val="0"/>
                <w:numId w:val="3"/>
              </w:numPr>
              <w:ind w:left="284" w:hanging="238"/>
              <w:contextualSpacing/>
              <w:jc w:val="both"/>
              <w:rPr>
                <w:kern w:val="24"/>
              </w:rPr>
            </w:pPr>
            <w:r w:rsidRPr="00CA700D">
              <w:rPr>
                <w:kern w:val="24"/>
              </w:rPr>
              <w:t>t</w:t>
            </w:r>
            <w:r w:rsidR="00D523E0" w:rsidRPr="00CA700D">
              <w:rPr>
                <w:kern w:val="24"/>
              </w:rPr>
              <w:t>rójkąt ostrzegawczy posiadający homologację zgodną z Regulaminem Nr 27 EKG ONZ,</w:t>
            </w:r>
          </w:p>
          <w:p w14:paraId="5B8B7ADC" w14:textId="3CFE6E7F" w:rsidR="00D523E0" w:rsidRPr="00CA700D" w:rsidRDefault="0009371A" w:rsidP="00D523E0">
            <w:pPr>
              <w:numPr>
                <w:ilvl w:val="0"/>
                <w:numId w:val="3"/>
              </w:numPr>
              <w:ind w:left="284" w:hanging="238"/>
              <w:contextualSpacing/>
              <w:jc w:val="both"/>
              <w:rPr>
                <w:kern w:val="24"/>
              </w:rPr>
            </w:pPr>
            <w:r w:rsidRPr="00CA700D">
              <w:rPr>
                <w:kern w:val="24"/>
              </w:rPr>
              <w:t>d</w:t>
            </w:r>
            <w:r w:rsidR="00D523E0" w:rsidRPr="00CA700D">
              <w:rPr>
                <w:kern w:val="24"/>
              </w:rPr>
              <w:t>wa zintegrowane urządzenia służące do rozbijania szyb i cięcia pasów bezpieczeństwa, mocowane w zasięgu ręki kierowcy i dowódcy,</w:t>
            </w:r>
          </w:p>
          <w:p w14:paraId="10F542DC" w14:textId="32FDC2EB" w:rsidR="00D523E0" w:rsidRPr="00CA700D" w:rsidRDefault="0009371A" w:rsidP="00D523E0">
            <w:pPr>
              <w:numPr>
                <w:ilvl w:val="0"/>
                <w:numId w:val="3"/>
              </w:numPr>
              <w:ind w:left="284" w:hanging="238"/>
              <w:contextualSpacing/>
              <w:jc w:val="both"/>
              <w:rPr>
                <w:kern w:val="24"/>
              </w:rPr>
            </w:pPr>
            <w:r w:rsidRPr="00CA700D">
              <w:rPr>
                <w:kern w:val="24"/>
              </w:rPr>
              <w:t>z</w:t>
            </w:r>
            <w:r w:rsidR="00D523E0" w:rsidRPr="00CA700D">
              <w:rPr>
                <w:kern w:val="24"/>
              </w:rPr>
              <w:t>estaw podręcznych narzędzi, w skład którego wchodzi co najmniej: podnośnik samochodowy dostosowany do masy pojazdu, klucz do kół, wkrętak/klucz dostosowany do wkrętów zastosowanych w pojeździe, klucz umożliwiający odłączenie biegunów akumulatora,</w:t>
            </w:r>
          </w:p>
          <w:p w14:paraId="2C12ABD8" w14:textId="4206CF9E" w:rsidR="00D523E0" w:rsidRPr="00CA700D" w:rsidRDefault="0009371A" w:rsidP="00D523E0">
            <w:pPr>
              <w:numPr>
                <w:ilvl w:val="0"/>
                <w:numId w:val="3"/>
              </w:numPr>
              <w:ind w:left="284" w:hanging="238"/>
              <w:contextualSpacing/>
              <w:jc w:val="both"/>
              <w:rPr>
                <w:kern w:val="24"/>
              </w:rPr>
            </w:pPr>
            <w:r w:rsidRPr="00CA700D">
              <w:rPr>
                <w:kern w:val="24"/>
              </w:rPr>
              <w:lastRenderedPageBreak/>
              <w:t>d</w:t>
            </w:r>
            <w:r w:rsidR="00D523E0" w:rsidRPr="00CA700D">
              <w:rPr>
                <w:kern w:val="24"/>
              </w:rPr>
              <w:t>wie kamizelki odblaskowe, rozmiar XL, w kolorze żółtym, z dwoma poziomymi pasami odblaskowymi zgodnie z normą EN ISO 20471.</w:t>
            </w:r>
          </w:p>
          <w:p w14:paraId="6357409A" w14:textId="77777777" w:rsidR="00D523E0" w:rsidRPr="00CA700D" w:rsidRDefault="00D523E0" w:rsidP="00D523E0">
            <w:pPr>
              <w:jc w:val="both"/>
              <w:rPr>
                <w:kern w:val="24"/>
              </w:rPr>
            </w:pPr>
            <w:r w:rsidRPr="00CA700D">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25564A8F" w14:textId="7BDA4E38" w:rsidR="00D523E0" w:rsidRPr="009E00E5" w:rsidRDefault="009E00E5" w:rsidP="008E4DBF">
            <w:pPr>
              <w:jc w:val="both"/>
              <w:rPr>
                <w:i/>
                <w:iCs/>
                <w:kern w:val="24"/>
              </w:rPr>
            </w:pPr>
            <w:r w:rsidRPr="009E00E5">
              <w:rPr>
                <w:i/>
                <w:iCs/>
                <w:kern w:val="24"/>
              </w:rPr>
              <w:lastRenderedPageBreak/>
              <w:t>Spełnia/nie spełnia</w:t>
            </w:r>
          </w:p>
        </w:tc>
      </w:tr>
      <w:tr w:rsidR="00AB667B" w:rsidRPr="00AB667B" w14:paraId="670CBA0C" w14:textId="77777777" w:rsidTr="008E4DBF">
        <w:tc>
          <w:tcPr>
            <w:tcW w:w="796" w:type="dxa"/>
          </w:tcPr>
          <w:p w14:paraId="45E1BAB4" w14:textId="307FA127" w:rsidR="00D523E0" w:rsidRPr="00AB667B" w:rsidRDefault="00D523E0" w:rsidP="00151F72">
            <w:pPr>
              <w:jc w:val="center"/>
            </w:pPr>
            <w:r w:rsidRPr="00AB667B">
              <w:t>2</w:t>
            </w:r>
            <w:r w:rsidR="00EE3BF7">
              <w:t>2</w:t>
            </w:r>
            <w:r w:rsidRPr="00AB667B">
              <w:t>.</w:t>
            </w:r>
          </w:p>
        </w:tc>
        <w:tc>
          <w:tcPr>
            <w:tcW w:w="10539" w:type="dxa"/>
            <w:vAlign w:val="center"/>
          </w:tcPr>
          <w:p w14:paraId="7FC47676" w14:textId="77777777" w:rsidR="00D523E0" w:rsidRPr="00AB667B" w:rsidRDefault="00D523E0" w:rsidP="00CE4236">
            <w:pPr>
              <w:jc w:val="both"/>
              <w:rPr>
                <w:kern w:val="24"/>
              </w:rPr>
            </w:pPr>
            <w:r w:rsidRPr="00AB667B">
              <w:rPr>
                <w:kern w:val="24"/>
              </w:rPr>
              <w:t>Z pojazdem Zamawiający dostarczy wszystkie potrzebne dokumenty do rejestracji pojazdu oraz badanie techniczne dla pojazdów uprzywilejowanych.</w:t>
            </w:r>
          </w:p>
        </w:tc>
        <w:tc>
          <w:tcPr>
            <w:tcW w:w="2127" w:type="dxa"/>
          </w:tcPr>
          <w:p w14:paraId="2F017C5D" w14:textId="0CDA23ED" w:rsidR="00D523E0" w:rsidRPr="009E00E5" w:rsidRDefault="009E00E5" w:rsidP="008E4DBF">
            <w:pPr>
              <w:jc w:val="both"/>
              <w:rPr>
                <w:i/>
                <w:iCs/>
                <w:kern w:val="24"/>
              </w:rPr>
            </w:pPr>
            <w:r w:rsidRPr="009E00E5">
              <w:rPr>
                <w:i/>
                <w:iCs/>
                <w:kern w:val="24"/>
              </w:rPr>
              <w:t>Spełnia/nie spełnia</w:t>
            </w:r>
            <w:r>
              <w:rPr>
                <w:i/>
                <w:iCs/>
                <w:kern w:val="24"/>
              </w:rPr>
              <w:br/>
            </w:r>
          </w:p>
        </w:tc>
      </w:tr>
      <w:tr w:rsidR="00AB667B" w:rsidRPr="00AB667B" w14:paraId="688F5E67" w14:textId="77777777" w:rsidTr="008E4DBF">
        <w:tc>
          <w:tcPr>
            <w:tcW w:w="796" w:type="dxa"/>
          </w:tcPr>
          <w:p w14:paraId="6E4A5C63" w14:textId="20A492F4" w:rsidR="00D523E0" w:rsidRPr="00AB667B" w:rsidRDefault="00D523E0" w:rsidP="00151F72">
            <w:pPr>
              <w:jc w:val="center"/>
            </w:pPr>
            <w:r w:rsidRPr="00AB667B">
              <w:t>2</w:t>
            </w:r>
            <w:r w:rsidR="00EE3BF7">
              <w:t>3</w:t>
            </w:r>
            <w:r w:rsidRPr="00AB667B">
              <w:t>.</w:t>
            </w:r>
          </w:p>
        </w:tc>
        <w:tc>
          <w:tcPr>
            <w:tcW w:w="10539" w:type="dxa"/>
          </w:tcPr>
          <w:p w14:paraId="35C72FBC" w14:textId="4E651A3D" w:rsidR="00D523E0" w:rsidRPr="00AB667B" w:rsidRDefault="00D523E0" w:rsidP="00DB1B76">
            <w:pPr>
              <w:jc w:val="both"/>
            </w:pPr>
            <w:r w:rsidRPr="00AB667B">
              <w:t xml:space="preserve">Wykonawca udzieli min. </w:t>
            </w:r>
            <w:r w:rsidR="000A195E">
              <w:t>36</w:t>
            </w:r>
            <w:r w:rsidRPr="00AB667B">
              <w:t xml:space="preserve"> </w:t>
            </w:r>
            <w:r w:rsidR="000A195E" w:rsidRPr="00AB667B">
              <w:t>miesięc</w:t>
            </w:r>
            <w:r w:rsidR="000A195E">
              <w:t>y</w:t>
            </w:r>
            <w:r w:rsidRPr="00AB667B">
              <w:t xml:space="preserve"> gwarancji </w:t>
            </w:r>
            <w:r w:rsidR="00AB667B" w:rsidRPr="00AB667B">
              <w:t xml:space="preserve">na pojazd z </w:t>
            </w:r>
            <w:r w:rsidR="000A195E">
              <w:t>w</w:t>
            </w:r>
            <w:r w:rsidR="00AB667B" w:rsidRPr="00AB667B">
              <w:t>yposażeniem</w:t>
            </w:r>
            <w:r w:rsidR="00624E63">
              <w:t>. W okresie udzielonej gwarancji wykonywane będą bezpłatne przeglądy serwisowe.</w:t>
            </w:r>
          </w:p>
        </w:tc>
        <w:tc>
          <w:tcPr>
            <w:tcW w:w="2127" w:type="dxa"/>
          </w:tcPr>
          <w:p w14:paraId="357F1D2F" w14:textId="77FD4432" w:rsidR="00D523E0" w:rsidRPr="009E00E5" w:rsidRDefault="009E00E5" w:rsidP="008E4DBF">
            <w:pPr>
              <w:jc w:val="both"/>
              <w:rPr>
                <w:i/>
                <w:iCs/>
              </w:rPr>
            </w:pPr>
            <w:r w:rsidRPr="009E00E5">
              <w:rPr>
                <w:i/>
                <w:iCs/>
              </w:rPr>
              <w:t>Należy podać okres udzielonej gwarancji</w:t>
            </w:r>
          </w:p>
        </w:tc>
      </w:tr>
    </w:tbl>
    <w:p w14:paraId="13387502" w14:textId="77777777" w:rsidR="0075264B" w:rsidRPr="00AB667B" w:rsidRDefault="0075264B"/>
    <w:sectPr w:rsidR="0075264B" w:rsidRPr="00AB667B" w:rsidSect="00F31CAF">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F794E" w14:textId="77777777" w:rsidR="00963AB4" w:rsidRDefault="00963AB4" w:rsidP="00AB667B">
      <w:r>
        <w:separator/>
      </w:r>
    </w:p>
  </w:endnote>
  <w:endnote w:type="continuationSeparator" w:id="0">
    <w:p w14:paraId="0909486C" w14:textId="77777777" w:rsidR="00963AB4" w:rsidRDefault="00963AB4" w:rsidP="00AB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88BA7" w14:textId="77777777" w:rsidR="00963AB4" w:rsidRDefault="00963AB4" w:rsidP="00AB667B">
      <w:r>
        <w:separator/>
      </w:r>
    </w:p>
  </w:footnote>
  <w:footnote w:type="continuationSeparator" w:id="0">
    <w:p w14:paraId="02938435" w14:textId="77777777" w:rsidR="00963AB4" w:rsidRDefault="00963AB4" w:rsidP="00AB6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4401885">
    <w:abstractNumId w:val="7"/>
  </w:num>
  <w:num w:numId="2" w16cid:durableId="1236092149">
    <w:abstractNumId w:val="6"/>
  </w:num>
  <w:num w:numId="3" w16cid:durableId="1007098953">
    <w:abstractNumId w:val="10"/>
  </w:num>
  <w:num w:numId="4" w16cid:durableId="1795098535">
    <w:abstractNumId w:val="11"/>
  </w:num>
  <w:num w:numId="5" w16cid:durableId="1221863301">
    <w:abstractNumId w:val="1"/>
  </w:num>
  <w:num w:numId="6" w16cid:durableId="2133285904">
    <w:abstractNumId w:val="4"/>
  </w:num>
  <w:num w:numId="7" w16cid:durableId="182011402">
    <w:abstractNumId w:val="9"/>
  </w:num>
  <w:num w:numId="8" w16cid:durableId="1262911243">
    <w:abstractNumId w:val="5"/>
  </w:num>
  <w:num w:numId="9" w16cid:durableId="1577327779">
    <w:abstractNumId w:val="0"/>
  </w:num>
  <w:num w:numId="10" w16cid:durableId="1061442541">
    <w:abstractNumId w:val="3"/>
  </w:num>
  <w:num w:numId="11" w16cid:durableId="896746536">
    <w:abstractNumId w:val="12"/>
  </w:num>
  <w:num w:numId="12" w16cid:durableId="547646634">
    <w:abstractNumId w:val="2"/>
  </w:num>
  <w:num w:numId="13" w16cid:durableId="1579678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0B1"/>
    <w:rsid w:val="0001041D"/>
    <w:rsid w:val="000119C6"/>
    <w:rsid w:val="00015116"/>
    <w:rsid w:val="00056295"/>
    <w:rsid w:val="00063C91"/>
    <w:rsid w:val="00084516"/>
    <w:rsid w:val="0009371A"/>
    <w:rsid w:val="00093E13"/>
    <w:rsid w:val="000A110B"/>
    <w:rsid w:val="000A195E"/>
    <w:rsid w:val="000C4BA3"/>
    <w:rsid w:val="000D75D6"/>
    <w:rsid w:val="000E53D7"/>
    <w:rsid w:val="000F4E8E"/>
    <w:rsid w:val="0014411C"/>
    <w:rsid w:val="00151F72"/>
    <w:rsid w:val="00171F32"/>
    <w:rsid w:val="001B3918"/>
    <w:rsid w:val="001D533A"/>
    <w:rsid w:val="001E6D17"/>
    <w:rsid w:val="001F3AA0"/>
    <w:rsid w:val="002114DF"/>
    <w:rsid w:val="002312A8"/>
    <w:rsid w:val="00264ADD"/>
    <w:rsid w:val="00273622"/>
    <w:rsid w:val="00274379"/>
    <w:rsid w:val="0027589A"/>
    <w:rsid w:val="002828EA"/>
    <w:rsid w:val="00285073"/>
    <w:rsid w:val="002A7AEE"/>
    <w:rsid w:val="002B58E5"/>
    <w:rsid w:val="002C540B"/>
    <w:rsid w:val="002D1EA5"/>
    <w:rsid w:val="00312AC5"/>
    <w:rsid w:val="0032280F"/>
    <w:rsid w:val="00361733"/>
    <w:rsid w:val="00376A2B"/>
    <w:rsid w:val="00386191"/>
    <w:rsid w:val="003A50F2"/>
    <w:rsid w:val="003B3F92"/>
    <w:rsid w:val="003E0BD8"/>
    <w:rsid w:val="003E25C5"/>
    <w:rsid w:val="003E2797"/>
    <w:rsid w:val="00416421"/>
    <w:rsid w:val="00441DA5"/>
    <w:rsid w:val="00457656"/>
    <w:rsid w:val="004601EA"/>
    <w:rsid w:val="004604C7"/>
    <w:rsid w:val="0046178A"/>
    <w:rsid w:val="004701E5"/>
    <w:rsid w:val="00471B2D"/>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62D77"/>
    <w:rsid w:val="0057058B"/>
    <w:rsid w:val="00572307"/>
    <w:rsid w:val="00575B96"/>
    <w:rsid w:val="00587419"/>
    <w:rsid w:val="00587CA8"/>
    <w:rsid w:val="00594FB7"/>
    <w:rsid w:val="005969A9"/>
    <w:rsid w:val="005B2E2B"/>
    <w:rsid w:val="005B5236"/>
    <w:rsid w:val="005C6BB6"/>
    <w:rsid w:val="005D4044"/>
    <w:rsid w:val="005D603D"/>
    <w:rsid w:val="005E4D5D"/>
    <w:rsid w:val="00610134"/>
    <w:rsid w:val="00624E63"/>
    <w:rsid w:val="006302DD"/>
    <w:rsid w:val="00636D65"/>
    <w:rsid w:val="006513A0"/>
    <w:rsid w:val="00656382"/>
    <w:rsid w:val="00663284"/>
    <w:rsid w:val="00667607"/>
    <w:rsid w:val="0067072F"/>
    <w:rsid w:val="006A5965"/>
    <w:rsid w:val="006C02DE"/>
    <w:rsid w:val="006C7577"/>
    <w:rsid w:val="006D25FB"/>
    <w:rsid w:val="006D6803"/>
    <w:rsid w:val="006F0446"/>
    <w:rsid w:val="0072227A"/>
    <w:rsid w:val="0075264B"/>
    <w:rsid w:val="0076398C"/>
    <w:rsid w:val="00773F08"/>
    <w:rsid w:val="0079025E"/>
    <w:rsid w:val="007A5511"/>
    <w:rsid w:val="007C569C"/>
    <w:rsid w:val="008510B1"/>
    <w:rsid w:val="00860307"/>
    <w:rsid w:val="00863693"/>
    <w:rsid w:val="00886729"/>
    <w:rsid w:val="008949DE"/>
    <w:rsid w:val="008A0B12"/>
    <w:rsid w:val="008E0920"/>
    <w:rsid w:val="008E5209"/>
    <w:rsid w:val="008F5681"/>
    <w:rsid w:val="00926CF7"/>
    <w:rsid w:val="0093554A"/>
    <w:rsid w:val="00943F54"/>
    <w:rsid w:val="00950BEF"/>
    <w:rsid w:val="00955505"/>
    <w:rsid w:val="00963AB4"/>
    <w:rsid w:val="0097715F"/>
    <w:rsid w:val="009812AE"/>
    <w:rsid w:val="009C1CF7"/>
    <w:rsid w:val="009D0E5D"/>
    <w:rsid w:val="009D678D"/>
    <w:rsid w:val="009D6971"/>
    <w:rsid w:val="009E00E5"/>
    <w:rsid w:val="00A3727E"/>
    <w:rsid w:val="00A43CB1"/>
    <w:rsid w:val="00A63A65"/>
    <w:rsid w:val="00A63CC7"/>
    <w:rsid w:val="00A6505B"/>
    <w:rsid w:val="00A97762"/>
    <w:rsid w:val="00AA3C13"/>
    <w:rsid w:val="00AB667B"/>
    <w:rsid w:val="00B27646"/>
    <w:rsid w:val="00B35E87"/>
    <w:rsid w:val="00B51A39"/>
    <w:rsid w:val="00B62449"/>
    <w:rsid w:val="00B635A5"/>
    <w:rsid w:val="00B66DF1"/>
    <w:rsid w:val="00B7115E"/>
    <w:rsid w:val="00B73CDD"/>
    <w:rsid w:val="00B80FAA"/>
    <w:rsid w:val="00B84773"/>
    <w:rsid w:val="00B91FDD"/>
    <w:rsid w:val="00BA012F"/>
    <w:rsid w:val="00BA0166"/>
    <w:rsid w:val="00BB704E"/>
    <w:rsid w:val="00BC31F8"/>
    <w:rsid w:val="00BC3DE1"/>
    <w:rsid w:val="00BC40F3"/>
    <w:rsid w:val="00BE2DB5"/>
    <w:rsid w:val="00BE5500"/>
    <w:rsid w:val="00C11D54"/>
    <w:rsid w:val="00C417B8"/>
    <w:rsid w:val="00C62C97"/>
    <w:rsid w:val="00C92565"/>
    <w:rsid w:val="00CA4CFB"/>
    <w:rsid w:val="00CA700D"/>
    <w:rsid w:val="00CC1286"/>
    <w:rsid w:val="00CE322B"/>
    <w:rsid w:val="00CE4236"/>
    <w:rsid w:val="00D14420"/>
    <w:rsid w:val="00D2575E"/>
    <w:rsid w:val="00D30FE0"/>
    <w:rsid w:val="00D350F4"/>
    <w:rsid w:val="00D35239"/>
    <w:rsid w:val="00D35B57"/>
    <w:rsid w:val="00D37077"/>
    <w:rsid w:val="00D517AC"/>
    <w:rsid w:val="00D523E0"/>
    <w:rsid w:val="00D56D99"/>
    <w:rsid w:val="00D613BB"/>
    <w:rsid w:val="00D6423D"/>
    <w:rsid w:val="00D70C6B"/>
    <w:rsid w:val="00D96DA6"/>
    <w:rsid w:val="00DB1B76"/>
    <w:rsid w:val="00DE2455"/>
    <w:rsid w:val="00E05340"/>
    <w:rsid w:val="00E1011F"/>
    <w:rsid w:val="00E46568"/>
    <w:rsid w:val="00E74887"/>
    <w:rsid w:val="00E87A66"/>
    <w:rsid w:val="00ED2452"/>
    <w:rsid w:val="00ED649D"/>
    <w:rsid w:val="00EE0A0B"/>
    <w:rsid w:val="00EE3BF7"/>
    <w:rsid w:val="00EF13F4"/>
    <w:rsid w:val="00EF54FB"/>
    <w:rsid w:val="00F2171B"/>
    <w:rsid w:val="00F31CAF"/>
    <w:rsid w:val="00F57223"/>
    <w:rsid w:val="00F6587D"/>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A98B"/>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AB667B"/>
    <w:pPr>
      <w:tabs>
        <w:tab w:val="center" w:pos="4703"/>
        <w:tab w:val="right" w:pos="9406"/>
      </w:tabs>
    </w:pPr>
  </w:style>
  <w:style w:type="character" w:customStyle="1" w:styleId="NagwekZnak">
    <w:name w:val="Nagłówek Znak"/>
    <w:basedOn w:val="Domylnaczcionkaakapitu"/>
    <w:link w:val="Nagwek"/>
    <w:uiPriority w:val="99"/>
    <w:rsid w:val="00AB667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B667B"/>
    <w:pPr>
      <w:tabs>
        <w:tab w:val="center" w:pos="4703"/>
        <w:tab w:val="right" w:pos="9406"/>
      </w:tabs>
    </w:pPr>
  </w:style>
  <w:style w:type="character" w:customStyle="1" w:styleId="StopkaZnak">
    <w:name w:val="Stopka Znak"/>
    <w:basedOn w:val="Domylnaczcionkaakapitu"/>
    <w:link w:val="Stopka"/>
    <w:uiPriority w:val="99"/>
    <w:rsid w:val="00AB667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50BE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0BE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2216</Words>
  <Characters>13300</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Daria Kobierska</cp:lastModifiedBy>
  <cp:revision>2</cp:revision>
  <cp:lastPrinted>2025-10-20T07:18:00Z</cp:lastPrinted>
  <dcterms:created xsi:type="dcterms:W3CDTF">2025-10-20T12:35:00Z</dcterms:created>
  <dcterms:modified xsi:type="dcterms:W3CDTF">2025-10-20T12:35:00Z</dcterms:modified>
</cp:coreProperties>
</file>